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E3E23E">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14:paraId="5612E47B">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14:paraId="25851015">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auto"/>
          <w:spacing w:val="1"/>
          <w:kern w:val="0"/>
          <w:position w:val="-2"/>
          <w:sz w:val="21"/>
          <w:szCs w:val="21"/>
        </w:rPr>
      </w:pPr>
    </w:p>
    <w:p w14:paraId="5A7E283A">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w:t>
      </w:r>
      <w:bookmarkStart w:id="2" w:name="PO_7_NianDuBianHao"/>
      <w:r>
        <w:rPr>
          <w:rFonts w:eastAsia="仿宋_GB2312"/>
          <w:color w:val="auto"/>
          <w:kern w:val="0"/>
          <w:position w:val="-2"/>
          <w:sz w:val="32"/>
          <w:szCs w:val="32"/>
        </w:rPr>
        <w:t>〔</w:t>
      </w:r>
      <w:bookmarkEnd w:id="2"/>
      <w:r>
        <w:rPr>
          <w:rFonts w:hint="eastAsia" w:eastAsia="仿宋_GB2312"/>
          <w:color w:val="auto"/>
          <w:kern w:val="0"/>
          <w:position w:val="-2"/>
          <w:sz w:val="32"/>
          <w:szCs w:val="32"/>
          <w:lang w:eastAsia="zh-CN"/>
        </w:rPr>
        <w:t>2024</w:t>
      </w:r>
      <w:r>
        <w:rPr>
          <w:rFonts w:eastAsia="仿宋_GB2312"/>
          <w:color w:val="auto"/>
          <w:kern w:val="0"/>
          <w:position w:val="-2"/>
          <w:sz w:val="32"/>
          <w:szCs w:val="32"/>
        </w:rPr>
        <w:t>〕</w:t>
      </w:r>
      <w:r>
        <w:rPr>
          <w:rFonts w:hint="eastAsia" w:eastAsia="仿宋_GB2312"/>
          <w:color w:val="auto"/>
          <w:kern w:val="0"/>
          <w:sz w:val="32"/>
          <w:szCs w:val="32"/>
          <w:lang w:val="en-US" w:eastAsia="zh-CN"/>
        </w:rPr>
        <w:t>118</w:t>
      </w:r>
      <w:r>
        <w:rPr>
          <w:rFonts w:eastAsia="仿宋_GB2312"/>
          <w:color w:val="auto"/>
          <w:kern w:val="0"/>
          <w:position w:val="-2"/>
          <w:sz w:val="32"/>
          <w:szCs w:val="32"/>
        </w:rPr>
        <w:t>号</w:t>
      </w:r>
    </w:p>
    <w:p w14:paraId="45C5C6CE">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580" w:lineRule="exact"/>
        <w:jc w:val="both"/>
        <w:textAlignment w:val="auto"/>
        <w:rPr>
          <w:rFonts w:hint="eastAsia" w:eastAsia="仿宋_GB2312"/>
          <w:color w:val="auto"/>
          <w:kern w:val="0"/>
          <w:sz w:val="21"/>
          <w:szCs w:val="21"/>
          <w:lang w:val="en-US" w:eastAsia="zh-CN"/>
        </w:rPr>
      </w:pPr>
    </w:p>
    <w:p w14:paraId="25C7CC08">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right="0"/>
        <w:textAlignment w:val="auto"/>
        <w:rPr>
          <w:rFonts w:hint="default" w:ascii="Times New Roman" w:hAnsi="Times New Roman" w:eastAsia="仿宋_GB2312" w:cs="Times New Roman"/>
          <w:color w:val="auto"/>
          <w:sz w:val="32"/>
          <w:szCs w:val="32"/>
        </w:rPr>
      </w:pPr>
      <w:r>
        <w:rPr>
          <w:rFonts w:hint="eastAsia" w:eastAsia="仿宋_GB2312"/>
          <w:color w:val="auto"/>
          <w:kern w:val="0"/>
          <w:sz w:val="32"/>
          <w:szCs w:val="32"/>
          <w:lang w:val="en-US" w:eastAsia="zh-CN"/>
        </w:rPr>
        <w:t>当</w:t>
      </w:r>
      <w:r>
        <w:rPr>
          <w:rFonts w:hint="default" w:ascii="Times New Roman" w:hAnsi="Times New Roman" w:eastAsia="仿宋_GB2312" w:cs="Times New Roman"/>
          <w:color w:val="auto"/>
          <w:sz w:val="32"/>
          <w:szCs w:val="32"/>
          <w:lang w:val="en-US" w:eastAsia="zh-CN"/>
        </w:rPr>
        <w:t>事人名称</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天津瀚洋汇和环保科技有限公司</w:t>
      </w:r>
    </w:p>
    <w:p w14:paraId="793A1C63">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right="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统一社会信用代码：</w:t>
      </w:r>
      <w:r>
        <w:rPr>
          <w:rFonts w:hint="default" w:ascii="Times New Roman" w:hAnsi="Times New Roman" w:eastAsia="仿宋_GB2312" w:cs="Times New Roman"/>
          <w:color w:val="auto"/>
          <w:sz w:val="32"/>
          <w:szCs w:val="32"/>
          <w:lang w:val="en-US" w:eastAsia="zh-CN"/>
        </w:rPr>
        <w:t>91120116550350347A</w:t>
      </w:r>
    </w:p>
    <w:p w14:paraId="06F95D46">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right="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eastAsia="zh-CN"/>
        </w:rPr>
        <w:t>法定代表人：</w:t>
      </w:r>
      <w:r>
        <w:rPr>
          <w:rFonts w:hint="default" w:ascii="Times New Roman" w:hAnsi="Times New Roman" w:eastAsia="仿宋_GB2312" w:cs="Times New Roman"/>
          <w:color w:val="auto"/>
          <w:sz w:val="32"/>
          <w:szCs w:val="32"/>
          <w:lang w:val="en-US" w:eastAsia="zh-CN"/>
        </w:rPr>
        <w:t>石炜</w:t>
      </w:r>
    </w:p>
    <w:p w14:paraId="31B81D3E">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right="0"/>
        <w:jc w:val="both"/>
        <w:textAlignment w:val="auto"/>
        <w:rPr>
          <w:rFonts w:hint="eastAsia" w:eastAsia="仿宋_GB2312"/>
          <w:color w:val="auto"/>
          <w:kern w:val="0"/>
          <w:sz w:val="32"/>
          <w:szCs w:val="32"/>
          <w:lang w:val="en-US" w:eastAsia="zh-CN"/>
        </w:rPr>
      </w:pPr>
      <w:r>
        <w:rPr>
          <w:rFonts w:hint="eastAsia" w:eastAsia="仿宋_GB2312" w:cs="Times New Roman"/>
          <w:color w:val="auto"/>
          <w:sz w:val="32"/>
          <w:szCs w:val="32"/>
          <w:lang w:val="en-US" w:eastAsia="zh-CN"/>
        </w:rPr>
        <w:t>住所</w:t>
      </w:r>
      <w:r>
        <w:rPr>
          <w:rFonts w:hint="default" w:ascii="Times New Roman" w:hAnsi="Times New Roman" w:eastAsia="仿宋_GB2312" w:cs="Times New Roman"/>
          <w:color w:val="auto"/>
          <w:sz w:val="32"/>
          <w:szCs w:val="32"/>
          <w:lang w:val="en-US" w:eastAsia="zh-CN"/>
        </w:rPr>
        <w:t>：天津市静海经济开发区三号路</w:t>
      </w:r>
    </w:p>
    <w:p w14:paraId="3E015236">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你单位环境违法</w:t>
      </w:r>
      <w:r>
        <w:rPr>
          <w:rFonts w:eastAsia="仿宋_GB2312"/>
          <w:color w:val="auto"/>
          <w:kern w:val="0"/>
          <w:position w:val="-2"/>
          <w:sz w:val="32"/>
          <w:szCs w:val="32"/>
        </w:rPr>
        <w:t>一案，我局经调查，现已审查终结。</w:t>
      </w:r>
    </w:p>
    <w:p w14:paraId="50E399E6">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14:paraId="6812CAB8">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textAlignment w:val="auto"/>
        <w:rPr>
          <w:rFonts w:hint="eastAsia" w:eastAsia="仿宋_GB2312"/>
          <w:color w:val="auto"/>
          <w:sz w:val="32"/>
          <w:szCs w:val="32"/>
          <w:lang w:val="en-US" w:eastAsia="zh-CN"/>
        </w:rPr>
      </w:pPr>
      <w:r>
        <w:rPr>
          <w:rFonts w:hint="eastAsia" w:eastAsia="仿宋_GB2312"/>
          <w:color w:val="auto"/>
          <w:sz w:val="32"/>
          <w:szCs w:val="32"/>
        </w:rPr>
        <w:t>我</w:t>
      </w:r>
      <w:r>
        <w:rPr>
          <w:rFonts w:hint="eastAsia" w:eastAsia="仿宋_GB2312"/>
          <w:color w:val="auto"/>
          <w:sz w:val="32"/>
          <w:szCs w:val="32"/>
          <w:lang w:val="en-US" w:eastAsia="zh-CN"/>
        </w:rPr>
        <w:t>局于2024年6月7日、8月2日对你单位进行了检查。根据你单位《危险废物经营许可证》（编号：TJHW005津环许可危证〔2023〕007号），你单位核准经营危险废物类别：HW01医疗废物，核准经营方式：收集、贮存、处置。经调查，发现你单位实施了以下环境违法行为：</w:t>
      </w:r>
    </w:p>
    <w:p w14:paraId="0DC0AAEB">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2024年6月7日执法人员现场查看你单位提供的2023年1月份《医疗废物运送登记卡》《危险废物转移联单（医疗废物专用）》《2023年-2024年胎盘单独转运台账》等资料发现，2023年1月份至2024年5月份，你单位负责收运天津市中心妇产科医院、天津医科大学第二医院等47家医疗机构产生的医疗废物人体胎盘共计42717个，重量合计26601.5公斤，收运使用车辆为一辆东风牌轻型封闭式货车（车牌号：津C273J1），该车辆不是专用医疗废物转运车，不符合《医疗废物转运车技术要求（试行）》（GB19217-2003）中相关规定要求。你单位上述行为属于未使用符合标准的专用车辆运送医疗废物。</w:t>
      </w:r>
    </w:p>
    <w:p w14:paraId="30CE1F70">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2024年8月2日执法人员现场检查发现，你单位2023年使用医疗废物专用转运车辆转运不属于医疗废物的输液瓶（袋）共计524.52吨，2024年1月份至3月份使用医疗废物专用转运车辆转运不属于医疗废物的输液瓶（袋）255.18吨，涉及运输车辆包括19辆医疗废物专用转运车。你单位上述行为属于</w:t>
      </w:r>
      <w:bookmarkStart w:id="5" w:name="_GoBack"/>
      <w:r>
        <w:rPr>
          <w:rFonts w:hint="eastAsia" w:eastAsia="仿宋_GB2312"/>
          <w:color w:val="auto"/>
          <w:sz w:val="32"/>
          <w:szCs w:val="32"/>
          <w:lang w:val="en-US" w:eastAsia="zh-CN"/>
        </w:rPr>
        <w:t>使用运送医疗废物的车辆运送其他物品</w:t>
      </w:r>
      <w:bookmarkEnd w:id="5"/>
      <w:r>
        <w:rPr>
          <w:rFonts w:hint="eastAsia" w:eastAsia="仿宋_GB2312"/>
          <w:color w:val="auto"/>
          <w:sz w:val="32"/>
          <w:szCs w:val="32"/>
          <w:lang w:val="en-US" w:eastAsia="zh-CN"/>
        </w:rPr>
        <w:t>。</w:t>
      </w:r>
    </w:p>
    <w:p w14:paraId="1D84973F">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textAlignment w:val="auto"/>
        <w:rPr>
          <w:rFonts w:eastAsia="仿宋_GB2312"/>
          <w:color w:val="auto"/>
          <w:sz w:val="32"/>
          <w:szCs w:val="32"/>
        </w:rPr>
      </w:pPr>
      <w:r>
        <w:rPr>
          <w:rFonts w:hint="eastAsia" w:eastAsia="仿宋_GB2312"/>
          <w:color w:val="auto"/>
          <w:sz w:val="32"/>
          <w:szCs w:val="32"/>
          <w:lang w:val="en-US" w:eastAsia="zh-CN"/>
        </w:rPr>
        <w:t>以上事实，有</w:t>
      </w:r>
      <w:bookmarkStart w:id="3" w:name="PO_4_ShiShiZhengJu"/>
      <w:r>
        <w:rPr>
          <w:rFonts w:hint="eastAsia" w:eastAsia="仿宋_GB2312"/>
          <w:color w:val="auto"/>
          <w:sz w:val="32"/>
          <w:szCs w:val="32"/>
          <w:lang w:val="en-US" w:eastAsia="zh-CN"/>
        </w:rPr>
        <w:t>《天津市生态环境局现场检查（勘察）笔录》《天津市生态环境局调查询问笔录》《市卫生健康委关于商请确定病理性废物有关情况的复函》《天津市审计局关于瀚洋公司未按规定收运人体胎盘存在风险隐患问题的审计事项移送处理书》（津审移〔2024〕32号）》《医疗废物转运车技术要求（试行）》（GB19217-2003）、《医疗废物分类目录》；你单位提供的《医疗废物运送登记卡》《危险废物转移联单（医疗废物专用）》《2023年-2024年胎盘单独转运台账》《危险废物经营许可证》（编号：TJHW005津环许可危证〔2023〕007号）、《一次性输液瓶（袋）回收进场台账》《运输车辆台账》；你单位与天津市中心妇产科医院、天津医科大学第二医院签订的《天津市医疗废物集中处置协议》；现场拍摄的视频以及营业执照复印件</w:t>
      </w:r>
      <w:bookmarkEnd w:id="3"/>
      <w:r>
        <w:rPr>
          <w:rFonts w:hint="eastAsia" w:eastAsia="仿宋_GB2312"/>
          <w:color w:val="auto"/>
          <w:sz w:val="32"/>
          <w:szCs w:val="32"/>
          <w:lang w:val="en-US" w:eastAsia="zh-CN"/>
        </w:rPr>
        <w:t>等证据为凭。</w:t>
      </w:r>
    </w:p>
    <w:p w14:paraId="576FC726">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textAlignment w:val="auto"/>
        <w:rPr>
          <w:rFonts w:eastAsia="仿宋_GB2312"/>
          <w:color w:val="auto"/>
          <w:kern w:val="0"/>
          <w:sz w:val="32"/>
          <w:szCs w:val="32"/>
        </w:rPr>
      </w:pPr>
      <w:r>
        <w:rPr>
          <w:rFonts w:eastAsia="仿宋_GB2312"/>
          <w:color w:val="auto"/>
          <w:sz w:val="32"/>
          <w:szCs w:val="32"/>
        </w:rPr>
        <w:t>你</w:t>
      </w:r>
      <w:r>
        <w:rPr>
          <w:rFonts w:hint="eastAsia" w:eastAsia="仿宋_GB2312"/>
          <w:color w:val="auto"/>
          <w:sz w:val="32"/>
          <w:szCs w:val="32"/>
          <w:lang w:val="en-US" w:eastAsia="zh-CN"/>
        </w:rPr>
        <w:t>单位上述行为违反了《医疗废物管理条例》第二十六条第一款、第三款的规定，</w:t>
      </w:r>
      <w:r>
        <w:rPr>
          <w:rFonts w:eastAsia="仿宋_GB2312"/>
          <w:color w:val="auto"/>
          <w:kern w:val="0"/>
          <w:sz w:val="32"/>
          <w:szCs w:val="32"/>
        </w:rPr>
        <w:t>依法应当予以处罚。</w:t>
      </w:r>
    </w:p>
    <w:p w14:paraId="19F2A24C">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rPr>
      </w:pPr>
      <w:r>
        <w:rPr>
          <w:rFonts w:hint="eastAsia" w:eastAsia="仿宋_GB2312"/>
          <w:color w:val="auto"/>
          <w:kern w:val="0"/>
          <w:sz w:val="32"/>
          <w:szCs w:val="32"/>
        </w:rPr>
        <w:t>我局于</w:t>
      </w:r>
      <w:r>
        <w:rPr>
          <w:rFonts w:hint="eastAsia" w:eastAsia="仿宋_GB2312"/>
          <w:color w:val="auto"/>
          <w:kern w:val="0"/>
          <w:sz w:val="32"/>
          <w:szCs w:val="32"/>
          <w:lang w:eastAsia="zh-CN"/>
        </w:rPr>
        <w:t>2024</w:t>
      </w:r>
      <w:r>
        <w:rPr>
          <w:rFonts w:hint="eastAsia" w:eastAsia="仿宋_GB2312"/>
          <w:color w:val="auto"/>
          <w:kern w:val="0"/>
          <w:sz w:val="32"/>
          <w:szCs w:val="32"/>
        </w:rPr>
        <w:t>年</w:t>
      </w:r>
      <w:r>
        <w:rPr>
          <w:rFonts w:hint="eastAsia" w:eastAsia="仿宋_GB2312"/>
          <w:color w:val="auto"/>
          <w:sz w:val="32"/>
          <w:szCs w:val="32"/>
          <w:lang w:val="en-US" w:eastAsia="zh-CN"/>
        </w:rPr>
        <w:t>8</w:t>
      </w:r>
      <w:r>
        <w:rPr>
          <w:rFonts w:hint="eastAsia" w:eastAsia="仿宋_GB2312"/>
          <w:color w:val="auto"/>
          <w:kern w:val="0"/>
          <w:sz w:val="32"/>
          <w:szCs w:val="32"/>
        </w:rPr>
        <w:t>月</w:t>
      </w:r>
      <w:r>
        <w:rPr>
          <w:rFonts w:hint="eastAsia" w:eastAsia="仿宋_GB2312"/>
          <w:color w:val="auto"/>
          <w:sz w:val="32"/>
          <w:szCs w:val="32"/>
          <w:lang w:val="en-US" w:eastAsia="zh-CN"/>
        </w:rPr>
        <w:t>19</w:t>
      </w:r>
      <w:r>
        <w:rPr>
          <w:rFonts w:hint="eastAsia" w:eastAsia="仿宋_GB2312"/>
          <w:color w:val="auto"/>
          <w:kern w:val="0"/>
          <w:sz w:val="32"/>
          <w:szCs w:val="32"/>
        </w:rPr>
        <w:t>日以《天津市生态环境局行政处罚</w:t>
      </w:r>
      <w:r>
        <w:rPr>
          <w:rFonts w:hint="eastAsia" w:eastAsia="仿宋_GB2312"/>
          <w:color w:val="auto"/>
          <w:kern w:val="0"/>
          <w:sz w:val="32"/>
          <w:szCs w:val="32"/>
          <w:lang w:val="en-US" w:eastAsia="zh-CN"/>
        </w:rPr>
        <w:t>事先</w:t>
      </w:r>
      <w:r>
        <w:rPr>
          <w:rFonts w:hint="eastAsia" w:eastAsia="仿宋_GB2312"/>
          <w:color w:val="auto"/>
          <w:kern w:val="0"/>
          <w:sz w:val="32"/>
          <w:szCs w:val="32"/>
        </w:rPr>
        <w:t>告知书》（津市环</w:t>
      </w:r>
      <w:r>
        <w:rPr>
          <w:rFonts w:hint="eastAsia" w:eastAsia="仿宋_GB2312"/>
          <w:color w:val="auto"/>
          <w:kern w:val="0"/>
          <w:sz w:val="32"/>
          <w:szCs w:val="32"/>
          <w:lang w:val="en-US" w:eastAsia="zh-CN"/>
        </w:rPr>
        <w:t>事</w:t>
      </w:r>
      <w:r>
        <w:rPr>
          <w:rFonts w:hint="eastAsia" w:eastAsia="仿宋_GB2312"/>
          <w:color w:val="auto"/>
          <w:kern w:val="0"/>
          <w:sz w:val="32"/>
          <w:szCs w:val="32"/>
        </w:rPr>
        <w:t>告〔</w:t>
      </w:r>
      <w:r>
        <w:rPr>
          <w:rFonts w:hint="eastAsia" w:eastAsia="仿宋_GB2312"/>
          <w:color w:val="auto"/>
          <w:kern w:val="0"/>
          <w:sz w:val="32"/>
          <w:szCs w:val="32"/>
          <w:lang w:eastAsia="zh-CN"/>
        </w:rPr>
        <w:t>2024</w:t>
      </w:r>
      <w:r>
        <w:rPr>
          <w:rFonts w:hint="eastAsia" w:eastAsia="仿宋_GB2312"/>
          <w:color w:val="auto"/>
          <w:kern w:val="0"/>
          <w:sz w:val="32"/>
          <w:szCs w:val="32"/>
        </w:rPr>
        <w:t>〕</w:t>
      </w:r>
      <w:r>
        <w:rPr>
          <w:rFonts w:hint="eastAsia" w:eastAsia="仿宋_GB2312"/>
          <w:color w:val="auto"/>
          <w:sz w:val="32"/>
          <w:szCs w:val="32"/>
          <w:lang w:val="en-US" w:eastAsia="zh-CN"/>
        </w:rPr>
        <w:t>111</w:t>
      </w:r>
      <w:r>
        <w:rPr>
          <w:rFonts w:hint="eastAsia" w:eastAsia="仿宋_GB2312"/>
          <w:color w:val="auto"/>
          <w:kern w:val="0"/>
          <w:sz w:val="32"/>
          <w:szCs w:val="32"/>
        </w:rPr>
        <w:t>号），告知你单位违法事实、处罚依据和拟作出的处罚决定，并明确告知你单位有</w:t>
      </w:r>
      <w:r>
        <w:rPr>
          <w:rFonts w:hint="eastAsia" w:eastAsia="仿宋_GB2312"/>
          <w:color w:val="auto"/>
          <w:kern w:val="0"/>
          <w:sz w:val="32"/>
          <w:szCs w:val="32"/>
          <w:lang w:val="en-US" w:eastAsia="zh-CN"/>
        </w:rPr>
        <w:t>权利提出</w:t>
      </w:r>
      <w:r>
        <w:rPr>
          <w:rFonts w:eastAsia="仿宋_GB2312"/>
          <w:color w:val="auto"/>
          <w:kern w:val="0"/>
          <w:sz w:val="32"/>
          <w:szCs w:val="32"/>
        </w:rPr>
        <w:t>陈述</w:t>
      </w:r>
      <w:r>
        <w:rPr>
          <w:rFonts w:hint="eastAsia" w:eastAsia="仿宋_GB2312"/>
          <w:color w:val="auto"/>
          <w:kern w:val="0"/>
          <w:sz w:val="32"/>
          <w:szCs w:val="32"/>
        </w:rPr>
        <w:t>、申辩</w:t>
      </w:r>
      <w:r>
        <w:rPr>
          <w:rFonts w:hint="eastAsia" w:eastAsia="仿宋_GB2312"/>
          <w:color w:val="auto"/>
          <w:kern w:val="0"/>
          <w:sz w:val="32"/>
          <w:szCs w:val="32"/>
          <w:lang w:val="en-US" w:eastAsia="zh-CN"/>
        </w:rPr>
        <w:t>意见</w:t>
      </w:r>
      <w:r>
        <w:rPr>
          <w:rFonts w:hint="eastAsia" w:eastAsia="仿宋_GB2312"/>
          <w:color w:val="auto"/>
          <w:kern w:val="0"/>
          <w:sz w:val="32"/>
          <w:szCs w:val="32"/>
        </w:rPr>
        <w:t>。我局于</w:t>
      </w:r>
      <w:r>
        <w:rPr>
          <w:rFonts w:hint="eastAsia" w:eastAsia="仿宋_GB2312"/>
          <w:color w:val="auto"/>
          <w:kern w:val="0"/>
          <w:sz w:val="32"/>
          <w:szCs w:val="32"/>
          <w:lang w:eastAsia="zh-CN"/>
        </w:rPr>
        <w:t>2024</w:t>
      </w:r>
      <w:r>
        <w:rPr>
          <w:rFonts w:hint="eastAsia" w:eastAsia="仿宋_GB2312"/>
          <w:color w:val="auto"/>
          <w:kern w:val="0"/>
          <w:sz w:val="32"/>
          <w:szCs w:val="32"/>
        </w:rPr>
        <w:t>年</w:t>
      </w:r>
      <w:r>
        <w:rPr>
          <w:rFonts w:hint="eastAsia" w:eastAsia="仿宋_GB2312"/>
          <w:color w:val="auto"/>
          <w:sz w:val="32"/>
          <w:szCs w:val="32"/>
          <w:lang w:val="en-US" w:eastAsia="zh-CN"/>
        </w:rPr>
        <w:t>8</w:t>
      </w:r>
      <w:r>
        <w:rPr>
          <w:rFonts w:hint="eastAsia" w:eastAsia="仿宋_GB2312"/>
          <w:color w:val="auto"/>
          <w:kern w:val="0"/>
          <w:sz w:val="32"/>
          <w:szCs w:val="32"/>
        </w:rPr>
        <w:t>月</w:t>
      </w:r>
      <w:r>
        <w:rPr>
          <w:rFonts w:hint="eastAsia" w:eastAsia="仿宋_GB2312"/>
          <w:color w:val="auto"/>
          <w:sz w:val="32"/>
          <w:szCs w:val="32"/>
          <w:lang w:val="en-US" w:eastAsia="zh-CN"/>
        </w:rPr>
        <w:t>22</w:t>
      </w:r>
      <w:r>
        <w:rPr>
          <w:rFonts w:hint="eastAsia" w:eastAsia="仿宋_GB2312"/>
          <w:color w:val="auto"/>
          <w:kern w:val="0"/>
          <w:sz w:val="32"/>
          <w:szCs w:val="32"/>
        </w:rPr>
        <w:t>日向你单位</w:t>
      </w:r>
      <w:r>
        <w:rPr>
          <w:rFonts w:hint="eastAsia" w:eastAsia="仿宋_GB2312"/>
          <w:color w:val="auto"/>
          <w:kern w:val="0"/>
          <w:sz w:val="32"/>
          <w:szCs w:val="32"/>
          <w:lang w:eastAsia="zh-CN"/>
        </w:rPr>
        <w:t>直接</w:t>
      </w:r>
      <w:r>
        <w:rPr>
          <w:rFonts w:hint="eastAsia" w:eastAsia="仿宋_GB2312"/>
          <w:color w:val="auto"/>
          <w:kern w:val="0"/>
          <w:sz w:val="32"/>
          <w:szCs w:val="32"/>
        </w:rPr>
        <w:t>送达上述文件，你单位于当日签收。你单位逾期未向我局提出陈述</w:t>
      </w:r>
      <w:r>
        <w:rPr>
          <w:rFonts w:hint="eastAsia" w:eastAsia="仿宋_GB2312"/>
          <w:color w:val="auto"/>
          <w:kern w:val="0"/>
          <w:sz w:val="32"/>
          <w:szCs w:val="32"/>
          <w:lang w:eastAsia="zh-CN"/>
        </w:rPr>
        <w:t>、</w:t>
      </w:r>
      <w:r>
        <w:rPr>
          <w:rFonts w:hint="eastAsia" w:eastAsia="仿宋_GB2312"/>
          <w:color w:val="auto"/>
          <w:kern w:val="0"/>
          <w:sz w:val="32"/>
          <w:szCs w:val="32"/>
        </w:rPr>
        <w:t>申辩意见。</w:t>
      </w:r>
    </w:p>
    <w:p w14:paraId="37559F57">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rPr>
      </w:pPr>
      <w:r>
        <w:rPr>
          <w:rFonts w:hint="eastAsia" w:eastAsia="仿宋_GB2312"/>
          <w:color w:val="auto"/>
          <w:kern w:val="0"/>
          <w:sz w:val="32"/>
          <w:szCs w:val="32"/>
        </w:rPr>
        <w:t>以上事实，有《天津市生态环境局行政处罚事先告知书》（津市环事告〔20</w:t>
      </w:r>
      <w:r>
        <w:rPr>
          <w:rFonts w:hint="eastAsia" w:eastAsia="仿宋_GB2312"/>
          <w:color w:val="auto"/>
          <w:kern w:val="0"/>
          <w:sz w:val="32"/>
          <w:szCs w:val="32"/>
          <w:lang w:val="en-US" w:eastAsia="zh-CN"/>
        </w:rPr>
        <w:t>24</w:t>
      </w:r>
      <w:r>
        <w:rPr>
          <w:rFonts w:hint="eastAsia" w:eastAsia="仿宋_GB2312"/>
          <w:color w:val="auto"/>
          <w:kern w:val="0"/>
          <w:sz w:val="32"/>
          <w:szCs w:val="32"/>
        </w:rPr>
        <w:t>〕</w:t>
      </w:r>
      <w:r>
        <w:rPr>
          <w:rFonts w:hint="eastAsia" w:eastAsia="仿宋_GB2312"/>
          <w:color w:val="auto"/>
          <w:kern w:val="0"/>
          <w:sz w:val="32"/>
          <w:szCs w:val="32"/>
          <w:lang w:val="en-US" w:eastAsia="zh-CN"/>
        </w:rPr>
        <w:t>111</w:t>
      </w:r>
      <w:r>
        <w:rPr>
          <w:rFonts w:hint="eastAsia" w:eastAsia="仿宋_GB2312"/>
          <w:color w:val="auto"/>
          <w:kern w:val="0"/>
          <w:sz w:val="32"/>
          <w:szCs w:val="32"/>
        </w:rPr>
        <w:t>号）及《天津市生态环境局送达回证》等证据为凭。</w:t>
      </w:r>
    </w:p>
    <w:p w14:paraId="50E19484">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经集体审议研究，本案违法事实清楚、执法程序合法、法律适用准确、处罚幅度裁量合理。</w:t>
      </w:r>
    </w:p>
    <w:p w14:paraId="4AA16825">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14:paraId="59661037">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left"/>
        <w:textAlignment w:val="auto"/>
        <w:rPr>
          <w:rFonts w:hint="eastAsia" w:eastAsia="仿宋_GB2312"/>
          <w:color w:val="auto"/>
          <w:kern w:val="0"/>
          <w:sz w:val="32"/>
          <w:szCs w:val="32"/>
          <w:lang w:val="en-US" w:eastAsia="zh-CN"/>
        </w:rPr>
      </w:pPr>
      <w:r>
        <w:rPr>
          <w:rFonts w:eastAsia="仿宋_GB2312"/>
          <w:color w:val="auto"/>
          <w:kern w:val="0"/>
          <w:sz w:val="32"/>
          <w:szCs w:val="32"/>
        </w:rPr>
        <w:t>依据</w:t>
      </w:r>
      <w:r>
        <w:rPr>
          <w:rFonts w:hint="eastAsia" w:eastAsia="仿宋_GB2312"/>
          <w:color w:val="auto"/>
          <w:kern w:val="0"/>
          <w:sz w:val="32"/>
          <w:szCs w:val="32"/>
          <w:lang w:val="en-US" w:eastAsia="zh-CN"/>
        </w:rPr>
        <w:t>《医疗废物管理条例》第四十六条第三项的规定，我局：</w:t>
      </w:r>
    </w:p>
    <w:p w14:paraId="31A99DAE">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right="0" w:firstLine="640" w:firstLineChars="200"/>
        <w:jc w:val="both"/>
        <w:textAlignment w:val="auto"/>
        <w:rPr>
          <w:rFonts w:hint="default" w:ascii="Times New Roman" w:hAnsi="Times New Roman" w:eastAsia="仿宋_GB2312" w:cs="Times New Roman"/>
          <w:color w:val="auto"/>
          <w:sz w:val="32"/>
          <w:szCs w:val="32"/>
        </w:rPr>
      </w:pPr>
      <w:r>
        <w:rPr>
          <w:rFonts w:hint="eastAsia" w:eastAsia="仿宋_GB2312"/>
          <w:color w:val="auto"/>
          <w:kern w:val="0"/>
          <w:sz w:val="32"/>
          <w:szCs w:val="32"/>
          <w:lang w:val="en-US" w:eastAsia="zh-CN"/>
        </w:rPr>
        <w:t>1.责</w:t>
      </w:r>
      <w:r>
        <w:rPr>
          <w:rFonts w:hint="default" w:ascii="Times New Roman" w:hAnsi="Times New Roman" w:eastAsia="仿宋_GB2312" w:cs="Times New Roman"/>
          <w:color w:val="auto"/>
          <w:sz w:val="32"/>
          <w:szCs w:val="32"/>
        </w:rPr>
        <w:t>令你单位</w:t>
      </w:r>
      <w:r>
        <w:rPr>
          <w:rFonts w:hint="default" w:ascii="Times New Roman" w:hAnsi="Times New Roman" w:eastAsia="仿宋_GB2312" w:cs="Times New Roman"/>
          <w:color w:val="auto"/>
          <w:sz w:val="32"/>
          <w:szCs w:val="32"/>
          <w:lang w:val="en-US" w:eastAsia="zh-CN"/>
        </w:rPr>
        <w:t>立即</w:t>
      </w:r>
      <w:r>
        <w:rPr>
          <w:rFonts w:hint="default" w:ascii="Times New Roman" w:hAnsi="Times New Roman" w:eastAsia="仿宋_GB2312" w:cs="Times New Roman"/>
          <w:color w:val="auto"/>
          <w:sz w:val="32"/>
          <w:szCs w:val="32"/>
        </w:rPr>
        <w:t>改正违法行为；</w:t>
      </w:r>
    </w:p>
    <w:p w14:paraId="6787A282">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left"/>
        <w:textAlignment w:val="auto"/>
        <w:rPr>
          <w:rFonts w:eastAsia="仿宋_GB2312"/>
          <w:color w:val="auto"/>
          <w:kern w:val="0"/>
          <w:sz w:val="32"/>
          <w:szCs w:val="32"/>
        </w:rPr>
      </w:pPr>
      <w:r>
        <w:rPr>
          <w:rFonts w:hint="default"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sz w:val="32"/>
          <w:szCs w:val="32"/>
        </w:rPr>
        <w:t>.对你单位</w:t>
      </w:r>
      <w:r>
        <w:rPr>
          <w:rFonts w:hint="eastAsia" w:eastAsia="仿宋_GB2312" w:cs="Times New Roman"/>
          <w:color w:val="auto"/>
          <w:sz w:val="32"/>
          <w:szCs w:val="32"/>
          <w:lang w:eastAsia="zh-CN"/>
        </w:rPr>
        <w:t>给予警告</w:t>
      </w:r>
      <w:r>
        <w:rPr>
          <w:rFonts w:hint="eastAsia" w:eastAsia="仿宋_GB2312"/>
          <w:color w:val="auto"/>
          <w:kern w:val="0"/>
          <w:sz w:val="32"/>
          <w:szCs w:val="32"/>
          <w:lang w:val="en-US" w:eastAsia="zh-CN"/>
        </w:rPr>
        <w:t>。</w:t>
      </w:r>
    </w:p>
    <w:p w14:paraId="16AB4815">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14:paraId="45017E24">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eastAsia="zh-CN"/>
        </w:rPr>
        <w:t>立即</w:t>
      </w:r>
      <w:r>
        <w:rPr>
          <w:rFonts w:eastAsia="仿宋_GB2312"/>
          <w:color w:val="auto"/>
          <w:kern w:val="0"/>
          <w:sz w:val="32"/>
          <w:szCs w:val="32"/>
        </w:rPr>
        <w:t>改正违法行为</w:t>
      </w:r>
      <w:r>
        <w:rPr>
          <w:rFonts w:hint="eastAsia" w:eastAsia="仿宋_GB2312"/>
          <w:color w:val="auto"/>
          <w:kern w:val="0"/>
          <w:sz w:val="32"/>
          <w:szCs w:val="32"/>
          <w:lang w:eastAsia="zh-CN"/>
        </w:rPr>
        <w:t>，</w:t>
      </w:r>
      <w:r>
        <w:rPr>
          <w:rFonts w:hint="eastAsia" w:eastAsia="仿宋_GB2312"/>
          <w:color w:val="auto"/>
          <w:kern w:val="0"/>
          <w:sz w:val="32"/>
          <w:szCs w:val="32"/>
          <w:lang w:val="en-US" w:eastAsia="zh-CN"/>
        </w:rPr>
        <w:t>应当使用符合标准的专用车辆运送医疗废物，不得使用运送医疗废物的车辆运送其他物品</w:t>
      </w:r>
      <w:r>
        <w:rPr>
          <w:rFonts w:hint="eastAsia" w:eastAsia="仿宋_GB2312"/>
          <w:color w:val="auto"/>
          <w:kern w:val="0"/>
          <w:sz w:val="32"/>
          <w:szCs w:val="32"/>
          <w:lang w:eastAsia="zh-CN"/>
        </w:rPr>
        <w:t>。</w:t>
      </w:r>
    </w:p>
    <w:p w14:paraId="6A49D00D">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u w:val="single"/>
        </w:rPr>
      </w:pPr>
      <w:r>
        <w:rPr>
          <w:rFonts w:eastAsia="黑体"/>
          <w:color w:val="auto"/>
          <w:kern w:val="0"/>
          <w:sz w:val="32"/>
          <w:szCs w:val="32"/>
        </w:rPr>
        <w:t>四、申请行政复议或者提起行政诉讼的途径和期限</w:t>
      </w:r>
    </w:p>
    <w:p w14:paraId="6D5E3873">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kern w:val="0"/>
          <w:sz w:val="32"/>
          <w:szCs w:val="32"/>
        </w:rPr>
      </w:pPr>
      <w:r>
        <w:rPr>
          <w:rStyle w:val="14"/>
          <w:rFonts w:hint="eastAsia" w:eastAsia="仿宋_GB2312"/>
          <w:color w:val="auto"/>
          <w:kern w:val="0"/>
          <w:sz w:val="32"/>
          <w:szCs w:val="32"/>
          <w:u w:val="none"/>
          <w:lang w:val="en-US" w:eastAsia="zh-CN"/>
        </w:rPr>
        <w:t>如对本行政处罚决定不服，你单位可在收到本决定书之日起60日内向天津市人民政府申请行政复议（天津市司法局，咨询电话：23082169；互联网申请邮箱：</w:t>
      </w:r>
      <w:r>
        <w:rPr>
          <w:rFonts w:hint="eastAsia" w:eastAsia="仿宋_GB2312"/>
          <w:color w:val="auto"/>
          <w:kern w:val="0"/>
          <w:sz w:val="32"/>
          <w:szCs w:val="32"/>
          <w:u w:val="none"/>
          <w:lang w:val="en-US" w:eastAsia="zh-CN"/>
        </w:rPr>
        <w:t>tjsxzfy@tj.gov.cn），也可在6个月内直接向天津铁路运输法院提起行政诉讼。申请行政复议或者提起行政诉讼，不停止本行政处罚决定的执行。逾期不申请行政复议，不提起行政诉讼，又不履行本行政处罚决定的，我局将依法向天津市</w:t>
      </w:r>
      <w:r>
        <w:rPr>
          <w:rStyle w:val="14"/>
          <w:rFonts w:hint="eastAsia" w:eastAsia="仿宋_GB2312"/>
          <w:color w:val="auto"/>
          <w:kern w:val="0"/>
          <w:sz w:val="32"/>
          <w:szCs w:val="32"/>
          <w:u w:val="none"/>
          <w:lang w:val="en-US" w:eastAsia="zh-CN"/>
        </w:rPr>
        <w:t>南开区人民法院申请强制执行。</w:t>
      </w:r>
    </w:p>
    <w:p w14:paraId="44EE55C6">
      <w:pPr>
        <w:keepNext w:val="0"/>
        <w:keepLines w:val="0"/>
        <w:pageBreakBefore w:val="0"/>
        <w:widowControl w:val="0"/>
        <w:tabs>
          <w:tab w:val="left" w:pos="5980"/>
          <w:tab w:val="left" w:pos="8460"/>
          <w:tab w:val="left" w:pos="9265"/>
        </w:tabs>
        <w:kinsoku/>
        <w:wordWrap/>
        <w:overflowPunct/>
        <w:topLinePunct w:val="0"/>
        <w:autoSpaceDE w:val="0"/>
        <w:autoSpaceDN w:val="0"/>
        <w:bidi w:val="0"/>
        <w:adjustRightInd w:val="0"/>
        <w:snapToGrid w:val="0"/>
        <w:spacing w:line="600" w:lineRule="exact"/>
        <w:ind w:right="-20" w:firstLine="640" w:firstLineChars="200"/>
        <w:jc w:val="both"/>
        <w:textAlignment w:val="auto"/>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附件：行政处罚信息信用修复提示函</w:t>
      </w:r>
    </w:p>
    <w:p w14:paraId="07AD190F">
      <w:pPr>
        <w:keepNext w:val="0"/>
        <w:keepLines w:val="0"/>
        <w:pageBreakBefore w:val="0"/>
        <w:widowControl w:val="0"/>
        <w:tabs>
          <w:tab w:val="left" w:pos="5980"/>
          <w:tab w:val="left" w:pos="8460"/>
          <w:tab w:val="left" w:pos="9265"/>
        </w:tabs>
        <w:kinsoku/>
        <w:wordWrap/>
        <w:overflowPunct/>
        <w:topLinePunct w:val="0"/>
        <w:autoSpaceDE w:val="0"/>
        <w:autoSpaceDN w:val="0"/>
        <w:bidi w:val="0"/>
        <w:adjustRightInd w:val="0"/>
        <w:snapToGrid w:val="0"/>
        <w:spacing w:line="600" w:lineRule="exact"/>
        <w:ind w:right="-20"/>
        <w:jc w:val="left"/>
        <w:textAlignment w:val="auto"/>
        <w:rPr>
          <w:rFonts w:eastAsia="仿宋_GB2312"/>
          <w:color w:val="auto"/>
          <w:kern w:val="0"/>
          <w:sz w:val="32"/>
          <w:szCs w:val="32"/>
        </w:rPr>
      </w:pPr>
    </w:p>
    <w:p w14:paraId="6B493D02">
      <w:pPr>
        <w:keepNext w:val="0"/>
        <w:keepLines w:val="0"/>
        <w:pageBreakBefore w:val="0"/>
        <w:widowControl w:val="0"/>
        <w:kinsoku/>
        <w:wordWrap/>
        <w:overflowPunct/>
        <w:topLinePunct w:val="0"/>
        <w:autoSpaceDE w:val="0"/>
        <w:autoSpaceDN w:val="0"/>
        <w:bidi w:val="0"/>
        <w:adjustRightInd w:val="0"/>
        <w:snapToGrid w:val="0"/>
        <w:spacing w:line="600" w:lineRule="exact"/>
        <w:jc w:val="left"/>
        <w:textAlignment w:val="auto"/>
        <w:rPr>
          <w:rFonts w:eastAsia="仿宋_GB2312"/>
          <w:color w:val="auto"/>
          <w:kern w:val="0"/>
          <w:sz w:val="32"/>
          <w:szCs w:val="32"/>
        </w:rPr>
      </w:pPr>
      <w:r>
        <w:rPr>
          <w:rFonts w:eastAsia="仿宋_GB2312"/>
          <w:color w:val="auto"/>
          <w:kern w:val="0"/>
          <w:sz w:val="32"/>
          <w:szCs w:val="32"/>
        </w:rPr>
        <w:t xml:space="preserve">                            </w:t>
      </w:r>
    </w:p>
    <w:p w14:paraId="57CC20D2">
      <w:pPr>
        <w:keepNext w:val="0"/>
        <w:keepLines w:val="0"/>
        <w:pageBreakBefore w:val="0"/>
        <w:widowControl w:val="0"/>
        <w:kinsoku/>
        <w:wordWrap/>
        <w:overflowPunct/>
        <w:topLinePunct w:val="0"/>
        <w:autoSpaceDE w:val="0"/>
        <w:autoSpaceDN w:val="0"/>
        <w:bidi w:val="0"/>
        <w:adjustRightInd w:val="0"/>
        <w:snapToGrid w:val="0"/>
        <w:spacing w:line="600" w:lineRule="exact"/>
        <w:jc w:val="left"/>
        <w:textAlignment w:val="auto"/>
        <w:rPr>
          <w:rFonts w:eastAsia="仿宋_GB2312"/>
          <w:color w:val="auto"/>
          <w:kern w:val="0"/>
          <w:sz w:val="32"/>
          <w:szCs w:val="32"/>
        </w:rPr>
      </w:pPr>
    </w:p>
    <w:p w14:paraId="74EC209D">
      <w:pPr>
        <w:keepNext w:val="0"/>
        <w:keepLines w:val="0"/>
        <w:pageBreakBefore w:val="0"/>
        <w:widowControl w:val="0"/>
        <w:kinsoku/>
        <w:wordWrap/>
        <w:overflowPunct/>
        <w:topLinePunct w:val="0"/>
        <w:bidi w:val="0"/>
        <w:adjustRightInd w:val="0"/>
        <w:snapToGrid w:val="0"/>
        <w:spacing w:line="600" w:lineRule="exact"/>
        <w:jc w:val="center"/>
        <w:textAlignment w:val="auto"/>
        <w:rPr>
          <w:rFonts w:eastAsia="仿宋_GB2312"/>
          <w:color w:val="auto"/>
          <w:kern w:val="0"/>
          <w:sz w:val="28"/>
          <w:szCs w:val="28"/>
        </w:rPr>
      </w:pPr>
      <w:r>
        <w:rPr>
          <w:rFonts w:eastAsia="仿宋_GB2312"/>
          <w:color w:val="auto"/>
          <w:kern w:val="0"/>
          <w:sz w:val="32"/>
          <w:szCs w:val="32"/>
        </w:rPr>
        <w:t xml:space="preserve">                           </w:t>
      </w:r>
      <w:bookmarkStart w:id="4" w:name="PO_7_QianFaShiJian"/>
      <w:r>
        <w:rPr>
          <w:rFonts w:hint="eastAsia" w:eastAsia="仿宋_GB2312"/>
          <w:color w:val="auto"/>
          <w:kern w:val="0"/>
          <w:sz w:val="32"/>
          <w:szCs w:val="32"/>
          <w:lang w:eastAsia="zh-CN"/>
        </w:rPr>
        <w:t>2024</w:t>
      </w:r>
      <w:r>
        <w:rPr>
          <w:rFonts w:eastAsia="仿宋_GB2312"/>
          <w:color w:val="auto"/>
          <w:kern w:val="0"/>
          <w:sz w:val="32"/>
          <w:szCs w:val="32"/>
        </w:rPr>
        <w:t>年</w:t>
      </w:r>
      <w:r>
        <w:rPr>
          <w:rFonts w:hint="eastAsia" w:eastAsia="仿宋_GB2312"/>
          <w:color w:val="auto"/>
          <w:kern w:val="0"/>
          <w:sz w:val="32"/>
          <w:szCs w:val="32"/>
          <w:lang w:val="en-US" w:eastAsia="zh-CN"/>
        </w:rPr>
        <w:t>9</w:t>
      </w:r>
      <w:r>
        <w:rPr>
          <w:rFonts w:eastAsia="仿宋_GB2312"/>
          <w:color w:val="auto"/>
          <w:kern w:val="0"/>
          <w:sz w:val="32"/>
          <w:szCs w:val="32"/>
        </w:rPr>
        <w:t>月</w:t>
      </w:r>
      <w:bookmarkEnd w:id="4"/>
      <w:r>
        <w:rPr>
          <w:rFonts w:hint="eastAsia" w:eastAsia="仿宋_GB2312"/>
          <w:color w:val="auto"/>
          <w:kern w:val="0"/>
          <w:sz w:val="32"/>
          <w:szCs w:val="32"/>
          <w:lang w:val="en-US" w:eastAsia="zh-CN"/>
        </w:rPr>
        <w:t>25</w:t>
      </w:r>
      <w:r>
        <w:rPr>
          <w:rFonts w:eastAsia="仿宋_GB2312"/>
          <w:color w:val="auto"/>
          <w:kern w:val="0"/>
          <w:sz w:val="32"/>
          <w:szCs w:val="32"/>
        </w:rPr>
        <w:t>日</w:t>
      </w:r>
    </w:p>
    <w:p w14:paraId="435A7CCE">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jc w:val="both"/>
        <w:textAlignment w:val="auto"/>
        <w:rPr>
          <w:rFonts w:eastAsia="仿宋_GB2312"/>
          <w:color w:val="auto"/>
          <w:kern w:val="0"/>
          <w:sz w:val="28"/>
          <w:szCs w:val="28"/>
        </w:rPr>
      </w:pPr>
    </w:p>
    <w:p w14:paraId="162B58F1">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jc w:val="both"/>
        <w:textAlignment w:val="auto"/>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3" w:type="default"/>
      <w:footerReference r:id="rId5" w:type="default"/>
      <w:headerReference r:id="rId4" w:type="even"/>
      <w:pgSz w:w="11907" w:h="16840" w:orient="landscape"/>
      <w:pgMar w:top="2098" w:right="1474" w:bottom="1984" w:left="1587"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8F2D5B">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0AE8F0">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F6BF83">
    <w:pPr>
      <w:pStyle w:val="9"/>
      <w:pBdr>
        <w:bottom w:val="none" w:color="auto" w:sz="0" w:space="0"/>
      </w:pBdr>
    </w:pPr>
  </w:p>
  <w:p w14:paraId="16455AC2"/>
  <w:p w14:paraId="32AEBAA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5ZGY3YWJhNWE4NTE5YzZjNTNlNGUxM2ZjZjEwOGYifQ=="/>
    <w:docVar w:name="KSO_WPS_MARK_KEY" w:val="5f3a5a46-cb69-4c04-bf7e-701ad859e216"/>
  </w:docVars>
  <w:rsids>
    <w:rsidRoot w:val="4C9227F3"/>
    <w:rsid w:val="00010AA6"/>
    <w:rsid w:val="000204AC"/>
    <w:rsid w:val="00043334"/>
    <w:rsid w:val="000657F1"/>
    <w:rsid w:val="0009025B"/>
    <w:rsid w:val="00095A17"/>
    <w:rsid w:val="000A47E7"/>
    <w:rsid w:val="000D6F4A"/>
    <w:rsid w:val="000E35AD"/>
    <w:rsid w:val="0010341C"/>
    <w:rsid w:val="00121857"/>
    <w:rsid w:val="0013098D"/>
    <w:rsid w:val="0013559F"/>
    <w:rsid w:val="00140468"/>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A15F8"/>
    <w:rsid w:val="003A1FCB"/>
    <w:rsid w:val="003B1577"/>
    <w:rsid w:val="003B41A0"/>
    <w:rsid w:val="003C05F1"/>
    <w:rsid w:val="003C4CF8"/>
    <w:rsid w:val="003D74C6"/>
    <w:rsid w:val="003E1E96"/>
    <w:rsid w:val="003E474C"/>
    <w:rsid w:val="003F2EA1"/>
    <w:rsid w:val="00417624"/>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3C9"/>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E6E31"/>
    <w:rsid w:val="007F2FE7"/>
    <w:rsid w:val="00850EF1"/>
    <w:rsid w:val="008758BC"/>
    <w:rsid w:val="008778D2"/>
    <w:rsid w:val="008874CB"/>
    <w:rsid w:val="00895089"/>
    <w:rsid w:val="008A66F0"/>
    <w:rsid w:val="008B4839"/>
    <w:rsid w:val="008B6497"/>
    <w:rsid w:val="008E0B8C"/>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6915"/>
    <w:rsid w:val="00D2707E"/>
    <w:rsid w:val="00D31EDD"/>
    <w:rsid w:val="00D71E35"/>
    <w:rsid w:val="00D936DC"/>
    <w:rsid w:val="00D95AE8"/>
    <w:rsid w:val="00DA180B"/>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3BF5E4B"/>
    <w:rsid w:val="058D1E6B"/>
    <w:rsid w:val="0A452A13"/>
    <w:rsid w:val="0AF37BE2"/>
    <w:rsid w:val="0BAA16DF"/>
    <w:rsid w:val="119208BC"/>
    <w:rsid w:val="13181516"/>
    <w:rsid w:val="19D21766"/>
    <w:rsid w:val="1B165C97"/>
    <w:rsid w:val="1CC55237"/>
    <w:rsid w:val="1EA64E9B"/>
    <w:rsid w:val="1EF33693"/>
    <w:rsid w:val="1FAB0DDB"/>
    <w:rsid w:val="201322A9"/>
    <w:rsid w:val="21F029E2"/>
    <w:rsid w:val="24292670"/>
    <w:rsid w:val="259F263E"/>
    <w:rsid w:val="26440F92"/>
    <w:rsid w:val="28E8572E"/>
    <w:rsid w:val="2A334DC8"/>
    <w:rsid w:val="2DD24E04"/>
    <w:rsid w:val="2F913C6C"/>
    <w:rsid w:val="30687D5A"/>
    <w:rsid w:val="32B147E1"/>
    <w:rsid w:val="39B82B2E"/>
    <w:rsid w:val="3BAB4C09"/>
    <w:rsid w:val="3C2A7A26"/>
    <w:rsid w:val="3FC92B3F"/>
    <w:rsid w:val="40C81C4B"/>
    <w:rsid w:val="42CE2544"/>
    <w:rsid w:val="43A9170B"/>
    <w:rsid w:val="441A18E5"/>
    <w:rsid w:val="45AD19A9"/>
    <w:rsid w:val="46091656"/>
    <w:rsid w:val="48634D08"/>
    <w:rsid w:val="488C1EB2"/>
    <w:rsid w:val="49720097"/>
    <w:rsid w:val="49D12B7D"/>
    <w:rsid w:val="4C9227F3"/>
    <w:rsid w:val="4CBC37A4"/>
    <w:rsid w:val="4FC070FD"/>
    <w:rsid w:val="51935037"/>
    <w:rsid w:val="53771545"/>
    <w:rsid w:val="54737362"/>
    <w:rsid w:val="58FD755E"/>
    <w:rsid w:val="5AB75932"/>
    <w:rsid w:val="5B047FA0"/>
    <w:rsid w:val="5B7841B4"/>
    <w:rsid w:val="5CC034F2"/>
    <w:rsid w:val="5CD07997"/>
    <w:rsid w:val="5D0F49E8"/>
    <w:rsid w:val="5E2B67F4"/>
    <w:rsid w:val="5E3E39C6"/>
    <w:rsid w:val="663D5409"/>
    <w:rsid w:val="686025A8"/>
    <w:rsid w:val="6B36241A"/>
    <w:rsid w:val="6DAA1953"/>
    <w:rsid w:val="72016D53"/>
    <w:rsid w:val="723D0E2F"/>
    <w:rsid w:val="732B266F"/>
    <w:rsid w:val="73B46FCB"/>
    <w:rsid w:val="74165E20"/>
    <w:rsid w:val="74241EAA"/>
    <w:rsid w:val="7C1F5FB0"/>
    <w:rsid w:val="7D0A030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autoRedefine/>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autoRedefine/>
    <w:qFormat/>
    <w:uiPriority w:val="0"/>
    <w:pPr>
      <w:keepNext/>
      <w:keepLines/>
      <w:numPr>
        <w:ilvl w:val="1"/>
        <w:numId w:val="2"/>
      </w:numPr>
      <w:spacing w:before="160" w:after="160" w:line="440" w:lineRule="atLeast"/>
      <w:outlineLvl w:val="1"/>
    </w:pPr>
    <w:rPr>
      <w:b/>
      <w:kern w:val="0"/>
      <w:sz w:val="32"/>
      <w:szCs w:val="20"/>
    </w:rPr>
  </w:style>
  <w:style w:type="paragraph" w:styleId="4">
    <w:name w:val="heading 3"/>
    <w:basedOn w:val="1"/>
    <w:next w:val="1"/>
    <w:autoRedefine/>
    <w:qFormat/>
    <w:uiPriority w:val="0"/>
    <w:pPr>
      <w:keepNext/>
      <w:keepLines/>
      <w:numPr>
        <w:ilvl w:val="2"/>
        <w:numId w:val="2"/>
      </w:numPr>
      <w:spacing w:before="120" w:after="120" w:line="440" w:lineRule="atLeast"/>
      <w:outlineLvl w:val="2"/>
    </w:pPr>
    <w:rPr>
      <w:rFonts w:ascii="Garamond" w:hAnsi="Garamond"/>
      <w:b/>
      <w:kern w:val="0"/>
      <w:sz w:val="30"/>
      <w:szCs w:val="20"/>
    </w:rPr>
  </w:style>
  <w:style w:type="paragraph" w:styleId="5">
    <w:name w:val="heading 4"/>
    <w:basedOn w:val="1"/>
    <w:next w:val="1"/>
    <w:autoRedefine/>
    <w:qFormat/>
    <w:uiPriority w:val="0"/>
    <w:pPr>
      <w:keepNext/>
      <w:keepLines/>
      <w:numPr>
        <w:ilvl w:val="3"/>
        <w:numId w:val="2"/>
      </w:numPr>
      <w:spacing w:before="160" w:after="100" w:line="440" w:lineRule="atLeast"/>
      <w:jc w:val="left"/>
      <w:outlineLvl w:val="3"/>
    </w:pPr>
    <w:rPr>
      <w:b/>
      <w:kern w:val="0"/>
      <w:sz w:val="28"/>
      <w:szCs w:val="20"/>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6">
    <w:name w:val="Body Text"/>
    <w:basedOn w:val="1"/>
    <w:unhideWhenUsed/>
    <w:qFormat/>
    <w:uiPriority w:val="99"/>
    <w:pPr>
      <w:widowControl/>
      <w:spacing w:before="100" w:beforeAutospacing="1" w:after="100" w:afterAutospacing="1"/>
      <w:jc w:val="left"/>
    </w:pPr>
    <w:rPr>
      <w:rFonts w:ascii="宋体" w:hAnsi="宋体" w:cs="宋体"/>
    </w:rPr>
  </w:style>
  <w:style w:type="paragraph" w:styleId="7">
    <w:name w:val="Balloon Text"/>
    <w:basedOn w:val="1"/>
    <w:link w:val="15"/>
    <w:autoRedefine/>
    <w:qFormat/>
    <w:uiPriority w:val="0"/>
    <w:rPr>
      <w:sz w:val="18"/>
      <w:szCs w:val="18"/>
    </w:rPr>
  </w:style>
  <w:style w:type="paragraph" w:styleId="8">
    <w:name w:val="footer"/>
    <w:basedOn w:val="1"/>
    <w:link w:val="16"/>
    <w:autoRedefine/>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autoRedefine/>
    <w:qFormat/>
    <w:uiPriority w:val="0"/>
    <w:pPr>
      <w:spacing w:beforeAutospacing="1" w:afterAutospacing="1"/>
      <w:jc w:val="left"/>
    </w:pPr>
    <w:rPr>
      <w:rFonts w:cs="Times New Roman"/>
      <w:kern w:val="0"/>
      <w:sz w:val="24"/>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autoRedefine/>
    <w:qFormat/>
    <w:uiPriority w:val="0"/>
    <w:rPr>
      <w:color w:val="0000FF"/>
      <w:u w:val="single"/>
    </w:rPr>
  </w:style>
  <w:style w:type="character" w:customStyle="1" w:styleId="15">
    <w:name w:val="批注框文本 字符"/>
    <w:link w:val="7"/>
    <w:autoRedefine/>
    <w:qFormat/>
    <w:uiPriority w:val="0"/>
    <w:rPr>
      <w:kern w:val="2"/>
      <w:sz w:val="18"/>
      <w:szCs w:val="18"/>
    </w:rPr>
  </w:style>
  <w:style w:type="character" w:customStyle="1" w:styleId="16">
    <w:name w:val="页脚 字符"/>
    <w:link w:val="8"/>
    <w:qFormat/>
    <w:uiPriority w:val="99"/>
    <w:rPr>
      <w:kern w:val="2"/>
      <w:sz w:val="18"/>
      <w:szCs w:val="18"/>
    </w:rPr>
  </w:style>
  <w:style w:type="paragraph" w:customStyle="1" w:styleId="17">
    <w:name w:val="封皮"/>
    <w:basedOn w:val="1"/>
    <w:autoRedefine/>
    <w:qFormat/>
    <w:uiPriority w:val="0"/>
    <w:pPr>
      <w:jc w:val="center"/>
    </w:pPr>
    <w:rPr>
      <w:rFonts w:eastAsia="黑体"/>
      <w:b/>
      <w:sz w:val="72"/>
    </w:rPr>
  </w:style>
  <w:style w:type="paragraph" w:customStyle="1" w:styleId="18">
    <w:name w:val="正文1"/>
    <w:next w:val="19"/>
    <w:autoRedefine/>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9">
    <w:name w:val="正文文本1"/>
    <w:basedOn w:val="18"/>
    <w:autoRedefine/>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021\&#25991;&#20070;&#27169;&#26495;&#65288;2024&#24180;&#65289;\2024&#24180;&#25991;&#20070;&#27169;&#29256;-24&#24180;4&#26376;&#26356;&#26032;\22-3.&#34892;&#25919;&#22788;&#32602;&#20915;&#23450;&#20070;&#65288;&#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22-3.行政处罚决定书（听证）.dot</Template>
  <Pages>4</Pages>
  <Words>1668</Words>
  <Characters>1867</Characters>
  <Lines>9</Lines>
  <Paragraphs>2</Paragraphs>
  <TotalTime>4</TotalTime>
  <ScaleCrop>false</ScaleCrop>
  <LinksUpToDate>false</LinksUpToDate>
  <CharactersWithSpaces>1987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2024-05-14T00:52:00Z</dcterms:created>
  <dc:creator>孙国力</dc:creator>
  <cp:lastModifiedBy>孙国力</cp:lastModifiedBy>
  <cp:lastPrinted>2024-09-25T03:48:00Z</cp:lastPrinted>
  <dcterms:modified xsi:type="dcterms:W3CDTF">2024-09-26T09:20:08Z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F866212716ED472B8DF8DCE89B096EDF_11</vt:lpwstr>
  </property>
</Properties>
</file>