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D55D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right="-23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</w:rPr>
      </w:pPr>
      <w:bookmarkStart w:id="0" w:name="PO_2_DanWeiMingCheng"/>
      <w:bookmarkStart w:id="1" w:name="PO_2_ChuFaAnZi"/>
      <w:r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</w:rPr>
        <w:t>天津市生态环境局</w:t>
      </w:r>
      <w:bookmarkEnd w:id="0"/>
    </w:p>
    <w:p w14:paraId="3BAFE326"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right="-119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pacing w:val="1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pacing w:val="1"/>
          <w:kern w:val="0"/>
          <w:sz w:val="44"/>
          <w:szCs w:val="44"/>
        </w:rPr>
        <w:t>行政处</w:t>
      </w:r>
      <w:r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</w:rPr>
        <w:t>罚决</w:t>
      </w:r>
      <w:r>
        <w:rPr>
          <w:rFonts w:hint="default" w:ascii="Times New Roman" w:hAnsi="Times New Roman" w:eastAsia="方正小标宋简体" w:cs="Times New Roman"/>
          <w:color w:val="auto"/>
          <w:spacing w:val="1"/>
          <w:kern w:val="0"/>
          <w:sz w:val="44"/>
          <w:szCs w:val="44"/>
        </w:rPr>
        <w:t>定书</w:t>
      </w:r>
    </w:p>
    <w:p w14:paraId="5D29A327"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right="-119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pacing w:val="1"/>
          <w:kern w:val="0"/>
          <w:position w:val="-2"/>
          <w:sz w:val="21"/>
          <w:szCs w:val="21"/>
        </w:rPr>
      </w:pPr>
    </w:p>
    <w:p w14:paraId="7ACEBB18"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right="-119"/>
        <w:jc w:val="center"/>
        <w:textAlignment w:val="auto"/>
        <w:rPr>
          <w:rFonts w:hint="default" w:ascii="Times New Roman" w:hAnsi="Times New Roman" w:eastAsia="仿宋_GB2312" w:cs="Times New Roman"/>
          <w:color w:val="auto"/>
          <w:kern w:val="0"/>
          <w:position w:val="-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1"/>
          <w:kern w:val="0"/>
          <w:position w:val="-2"/>
          <w:sz w:val="32"/>
          <w:szCs w:val="32"/>
        </w:rPr>
        <w:t>津市</w:t>
      </w:r>
      <w:bookmarkEnd w:id="1"/>
      <w:r>
        <w:rPr>
          <w:rFonts w:hint="default" w:ascii="Times New Roman" w:hAnsi="Times New Roman" w:eastAsia="仿宋_GB2312" w:cs="Times New Roman"/>
          <w:color w:val="auto"/>
          <w:spacing w:val="1"/>
          <w:kern w:val="0"/>
          <w:position w:val="-2"/>
          <w:sz w:val="32"/>
          <w:szCs w:val="32"/>
        </w:rPr>
        <w:t>环罚</w:t>
      </w:r>
      <w:bookmarkStart w:id="2" w:name="PO_7_NianDuBianHao"/>
      <w:r>
        <w:rPr>
          <w:rFonts w:hint="default" w:ascii="Times New Roman" w:hAnsi="Times New Roman" w:eastAsia="仿宋_GB2312" w:cs="Times New Roman"/>
          <w:color w:val="auto"/>
          <w:kern w:val="0"/>
          <w:position w:val="-2"/>
          <w:sz w:val="32"/>
          <w:szCs w:val="32"/>
        </w:rPr>
        <w:t>〔</w:t>
      </w:r>
      <w:bookmarkEnd w:id="2"/>
      <w:r>
        <w:rPr>
          <w:rFonts w:hint="default" w:ascii="Times New Roman" w:hAnsi="Times New Roman" w:eastAsia="仿宋_GB2312" w:cs="Times New Roman"/>
          <w:color w:val="auto"/>
          <w:kern w:val="0"/>
          <w:position w:val="-2"/>
          <w:sz w:val="32"/>
          <w:szCs w:val="32"/>
          <w:lang w:eastAsia="zh-CN"/>
        </w:rPr>
        <w:t>2024</w:t>
      </w:r>
      <w:r>
        <w:rPr>
          <w:rFonts w:hint="default" w:ascii="Times New Roman" w:hAnsi="Times New Roman" w:eastAsia="仿宋_GB2312" w:cs="Times New Roman"/>
          <w:color w:val="auto"/>
          <w:kern w:val="0"/>
          <w:position w:val="-2"/>
          <w:sz w:val="32"/>
          <w:szCs w:val="32"/>
        </w:rPr>
        <w:t>〕</w:t>
      </w:r>
      <w:r>
        <w:rPr>
          <w:rFonts w:hint="default" w:ascii="Times New Roman" w:hAnsi="Times New Roman" w:eastAsia="仿宋_GB2312" w:cs="Times New Roman"/>
          <w:color w:val="auto"/>
          <w:kern w:val="0"/>
          <w:position w:val="-2"/>
          <w:sz w:val="32"/>
          <w:szCs w:val="32"/>
          <w:lang w:val="en-US" w:eastAsia="zh-CN"/>
        </w:rPr>
        <w:t>124</w:t>
      </w:r>
      <w:r>
        <w:rPr>
          <w:rFonts w:hint="default" w:ascii="Times New Roman" w:hAnsi="Times New Roman" w:eastAsia="仿宋_GB2312" w:cs="Times New Roman"/>
          <w:color w:val="auto"/>
          <w:kern w:val="0"/>
          <w:position w:val="-2"/>
          <w:sz w:val="32"/>
          <w:szCs w:val="32"/>
        </w:rPr>
        <w:t>号</w:t>
      </w:r>
    </w:p>
    <w:p w14:paraId="49917523"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5360"/>
          <w:tab w:val="left" w:pos="5980"/>
          <w:tab w:val="left" w:pos="6300"/>
          <w:tab w:val="left" w:pos="640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21"/>
          <w:szCs w:val="21"/>
          <w:lang w:val="en-US" w:eastAsia="zh-CN"/>
        </w:rPr>
      </w:pPr>
    </w:p>
    <w:p w14:paraId="4D4393B5"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5360"/>
          <w:tab w:val="left" w:pos="5980"/>
          <w:tab w:val="left" w:pos="6300"/>
          <w:tab w:val="left" w:pos="640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当事人名称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天津通鑫机动车检测有限公司</w:t>
      </w:r>
    </w:p>
    <w:p w14:paraId="25C5A4C0"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统一社会信用代码：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9112022510429578X1</w:t>
      </w:r>
    </w:p>
    <w:p w14:paraId="58752A08"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住所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天津市蓟州区开发区龙山路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1号</w:t>
      </w:r>
    </w:p>
    <w:p w14:paraId="53F2E029"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法定代表人：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徐俊智</w:t>
      </w:r>
    </w:p>
    <w:p w14:paraId="62C79BEC"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 xml:space="preserve">    你单位环境违法</w:t>
      </w:r>
      <w:r>
        <w:rPr>
          <w:rFonts w:hint="default" w:ascii="Times New Roman" w:hAnsi="Times New Roman" w:eastAsia="仿宋_GB2312" w:cs="Times New Roman"/>
          <w:color w:val="auto"/>
          <w:kern w:val="0"/>
          <w:position w:val="-2"/>
          <w:sz w:val="32"/>
          <w:szCs w:val="32"/>
        </w:rPr>
        <w:t>一案，我局经调查，现已审查终结。</w:t>
      </w:r>
    </w:p>
    <w:p w14:paraId="4A9C6891"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  <w:t>一、调查情况及发现的环境违法事实、证据和陈述申辩（听证）及采纳情况</w:t>
      </w:r>
    </w:p>
    <w:p w14:paraId="1B99BB5A"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我局于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2024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日对你单位进行了调查，发现你单位实施了以下环境违法行为：</w:t>
      </w:r>
    </w:p>
    <w:p w14:paraId="73DD1A9F"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1、2023年9月4日，你单位对津D66380的长城牌柴油车（车辆识别代码LGWCBC171AC012959）进行了检验，并出具了结果为“通过”的《在用车排放检验报告》，报告编号为：120225512309041046310180，检验过程中有目视可见黑烟；</w:t>
      </w:r>
    </w:p>
    <w:p w14:paraId="2C85C112"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、2024年2月23日，你单位对津RFM090的江淮牌柴油车（车辆识别代码LJ11RBAC8D8515121）进行了检验，并出具了结果为“通过”的《在用车排放检验报告》，报告编号为：120225512402231035200155，检验过程中有目视可见黑烟。</w:t>
      </w:r>
    </w:p>
    <w:p w14:paraId="5C3C0AA2"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根据《柴油车污染物排放限值及测量方法(自由加速法及加载减速法)》(GB 3847-2018)第8.2.2条“车辆排放有明显可见烟度或烟度值超过林格曼1级，则判定排放检验不合格。”及《关于执行国家生态环境标准问题的复函》“根据《机动车排放定期检验规范》（HJ 1237-2021）7.5规定，检验过程中车辆排放出现目视可见黑烟或蓝烟，按GB18285和GB 3847判定外观检验不合格。”的规定，上述柴油车排放检验过程中均有目视可见黑烟排放，应判定排放检验不合格。</w:t>
      </w:r>
    </w:p>
    <w:p w14:paraId="71480109"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根据你单位提供的《情况说明》，你单位上述2辆柴油车检测费用收取三百元。</w:t>
      </w:r>
    </w:p>
    <w:p w14:paraId="703AEAEA"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以上事实，有</w:t>
      </w:r>
      <w:bookmarkStart w:id="3" w:name="PO_4_ShiShiZhengJu"/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《天津市生态环境局现场检查（勘察）笔录》《天津市生态环境局调查询问笔录》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《柴油车污染物排放限值及测量方法（自由加速法及加载减速法）》（GB 3847-2018）、《关于执行国家生态环境标准问题的复函》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你单位提供的上述车辆的《在用车排放检验报告》及对应的检验视频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《情况说明》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2024年7月11日对津D66380、2024年7月12日对津RFM090召回复检合格报告，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现场拍摄的视频以及营业执照复印件</w:t>
      </w:r>
      <w:bookmarkEnd w:id="3"/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等证据为凭。</w:t>
      </w:r>
    </w:p>
    <w:p w14:paraId="1979D054"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 xml:space="preserve">你单位上述行为违反了《中华人民共和国大气污染防治法》第五十四条第一款的规定，依法应当予以处罚。 </w:t>
      </w:r>
    </w:p>
    <w:p w14:paraId="527BE7BE"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我局于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2024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日以《天津市生态环境局行政处罚事先告知书》（津市环事告〔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2024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〕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103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号），告知你单位违法事实、处罚依据和拟作出的处罚决定，并明确告知你单位有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权利提出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陈述、申辩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意见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。我局于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2024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日向你单位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直接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送达上述文件，你单位逾期未向我局提出陈述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申辩意见。</w:t>
      </w:r>
    </w:p>
    <w:p w14:paraId="709D173A"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以上事实，有《天津市生态环境局行政处罚事先告知书》（津市环事告〔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2024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〕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103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号）及《天津市生态环境局送达回证》等证据为凭。</w:t>
      </w:r>
    </w:p>
    <w:p w14:paraId="19A47431"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经集体审议，本案违法事实清楚、执法程序合法、法律适用准确、自由裁量结论合理。</w:t>
      </w:r>
    </w:p>
    <w:p w14:paraId="0D356A7E"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  <w:t>二、责令改正和行政处罚的依据、种类</w:t>
      </w:r>
    </w:p>
    <w:p w14:paraId="69678AD8"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依据《中华人民共和国大气污染防治法》第一百一十二条第一款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eastAsia="zh-CN"/>
        </w:rPr>
        <w:t>及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《生态环境行政处罚办法》第九条第一款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规定，我局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：</w:t>
      </w:r>
    </w:p>
    <w:p w14:paraId="78BA847E"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1.责令你单位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限期30日内改正违法行为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；</w:t>
      </w:r>
    </w:p>
    <w:p w14:paraId="01B6A3D2"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2.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没收你单位违法所得三百元；</w:t>
      </w:r>
    </w:p>
    <w:p w14:paraId="2DAA36B3"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对你单位处罚款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十二万元。</w:t>
      </w:r>
    </w:p>
    <w:p w14:paraId="00087B8C"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  <w:t>三、责令改正和处罚决定的履行方式和期限</w:t>
      </w:r>
    </w:p>
    <w:p w14:paraId="71DB4AED"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left"/>
        <w:textAlignment w:val="auto"/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</w:rPr>
        <w:t>（一）关于责令改正的履行方式和期限</w:t>
      </w:r>
    </w:p>
    <w:p w14:paraId="0C21FAEE"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你单位应于接到本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处罚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决定书之日起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限期30日内改正违法行为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你单位作为机动车排放检验机构，应当对检验数据的真实性和准确性负责。</w:t>
      </w:r>
    </w:p>
    <w:p w14:paraId="7764A02C"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left"/>
        <w:textAlignment w:val="auto"/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</w:rPr>
        <w:t>（二）关于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lang w:eastAsia="zh-CN"/>
        </w:rPr>
        <w:t>处罚决定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</w:rPr>
        <w:t>的履行方式和期限</w:t>
      </w:r>
    </w:p>
    <w:p w14:paraId="120A9987"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依据《中华人民共和国行政处罚法》和《罚款决定与罚款收缴分离实施办法》的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相关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规定，你单位接到本处罚决定书之日起十五日内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应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领取《非税收入统一缴款书（缴款通知书）》并缴至指定银行。你单位逾期不缴纳罚款的，我局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可以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 xml:space="preserve">依法每日按罚款数额的3%加处罚款。      </w:t>
      </w:r>
    </w:p>
    <w:p w14:paraId="750EDE59"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720" w:firstLineChars="225"/>
        <w:jc w:val="left"/>
        <w:textAlignment w:val="auto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u w:val="single"/>
        </w:rPr>
      </w:pP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  <w:t xml:space="preserve">四、申请行政复议或者提起行政诉讼的途径和期限 </w:t>
      </w:r>
    </w:p>
    <w:p w14:paraId="22ABC5D2"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left"/>
        <w:textAlignment w:val="auto"/>
        <w:rPr>
          <w:rStyle w:val="13"/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Style w:val="13"/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/>
        </w:rPr>
        <w:t>如对本行政处罚决定不服，你单位可在收到本决定书之日起60日内向天津市人民政府申请行政复议（天津市司法局，咨询电话：23082169；互联网申请邮箱：tjsxzfy@tj.gov.cn），也可在6个月内直接向天津铁路运输法院提起行政诉讼。申请行政复议或者提起行政诉讼，不停止本行政处罚决定的执行。逾期不申请行政复议，不提起行政诉讼，又不履行本行政处罚决定的，我局将依法向天津市南开区人民法院申请强制执行。</w:t>
      </w:r>
    </w:p>
    <w:p w14:paraId="0CF18E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 xml:space="preserve">                                                        </w:t>
      </w:r>
    </w:p>
    <w:p w14:paraId="226DAA78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80" w:lineRule="exact"/>
        <w:jc w:val="center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 xml:space="preserve">                           </w:t>
      </w:r>
      <w:bookmarkStart w:id="4" w:name="PO_7_QianFaShiJian"/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2024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年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月</w:t>
      </w:r>
      <w:bookmarkEnd w:id="4"/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</w:t>
      </w:r>
    </w:p>
    <w:p w14:paraId="656756FF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</w:p>
    <w:p w14:paraId="78040EC9">
      <w:pPr>
        <w:tabs>
          <w:tab w:val="left" w:pos="9120"/>
        </w:tabs>
        <w:autoSpaceDE w:val="0"/>
        <w:autoSpaceDN w:val="0"/>
        <w:adjustRightInd w:val="0"/>
        <w:ind w:right="120"/>
        <w:jc w:val="both"/>
        <w:rPr>
          <w:rFonts w:hint="default" w:ascii="Times New Roman" w:hAnsi="Times New Roman" w:eastAsia="仿宋_GB2312" w:cs="Times New Roman"/>
          <w:color w:val="auto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28"/>
          <w:szCs w:val="28"/>
        </w:rPr>
        <w:t>注：此文书一式</w:t>
      </w:r>
      <w:r>
        <w:rPr>
          <w:rFonts w:hint="default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  <w:t>三</w:t>
      </w:r>
      <w:r>
        <w:rPr>
          <w:rFonts w:hint="default" w:ascii="Times New Roman" w:hAnsi="Times New Roman" w:eastAsia="仿宋_GB2312" w:cs="Times New Roman"/>
          <w:color w:val="auto"/>
          <w:kern w:val="0"/>
          <w:sz w:val="28"/>
          <w:szCs w:val="28"/>
        </w:rPr>
        <w:t>份，</w:t>
      </w:r>
      <w:r>
        <w:rPr>
          <w:rFonts w:hint="default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  <w:t>二</w:t>
      </w:r>
      <w:r>
        <w:rPr>
          <w:rFonts w:hint="default" w:ascii="Times New Roman" w:hAnsi="Times New Roman" w:eastAsia="仿宋_GB2312" w:cs="Times New Roman"/>
          <w:color w:val="auto"/>
          <w:kern w:val="0"/>
          <w:sz w:val="28"/>
          <w:szCs w:val="28"/>
        </w:rPr>
        <w:t>份归档，一份送达。</w:t>
      </w:r>
    </w:p>
    <w:p w14:paraId="1E4A0D49">
      <w:pPr>
        <w:adjustRightInd w:val="0"/>
        <w:snapToGrid w:val="0"/>
        <w:spacing w:line="360" w:lineRule="auto"/>
        <w:ind w:firstLine="2520" w:firstLineChars="900"/>
        <w:jc w:val="left"/>
        <w:rPr>
          <w:rFonts w:hint="default" w:ascii="Times New Roman" w:hAnsi="Times New Roman" w:eastAsia="仿宋_GB2312" w:cs="Times New Roman"/>
          <w:color w:val="auto"/>
          <w:kern w:val="0"/>
          <w:sz w:val="28"/>
          <w:szCs w:val="28"/>
        </w:rPr>
      </w:pPr>
      <w:bookmarkStart w:id="5" w:name="_GoBack"/>
      <w:bookmarkEnd w:id="5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40" w:orient="landscape"/>
      <w:pgMar w:top="2098" w:right="1582" w:bottom="1985" w:left="1531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Garamond">
    <w:altName w:val="PMingLiU"/>
    <w:panose1 w:val="02020404030301010803"/>
    <w:charset w:val="00"/>
    <w:family w:val="roman"/>
    <w:pitch w:val="default"/>
    <w:sig w:usb0="00000000" w:usb1="00000000" w:usb2="00000000" w:usb3="00000000" w:csb0="0000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96975B">
    <w:pPr>
      <w:pStyle w:val="7"/>
      <w:jc w:val="center"/>
      <w:rPr>
        <w:rFonts w:hint="eastAsia"/>
      </w:rPr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8</w:t>
    </w:r>
    <w:r>
      <w:rPr>
        <w:b/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FE58BB"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C539D3"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AFC839"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F16F48">
    <w:pPr>
      <w:pStyle w:val="8"/>
      <w:pBdr>
        <w:bottom w:val="none" w:color="auto" w:sz="0" w:space="0"/>
      </w:pBdr>
    </w:pPr>
  </w:p>
  <w:p w14:paraId="3E3B1A58"/>
  <w:p w14:paraId="7C1C1058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282EFE">
    <w:pPr>
      <w:pStyle w:val="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AF0D15"/>
    <w:multiLevelType w:val="multilevel"/>
    <w:tmpl w:val="1CAF0D15"/>
    <w:lvl w:ilvl="0" w:tentative="0">
      <w:start w:val="1"/>
      <w:numFmt w:val="chineseCountingThousand"/>
      <w:lvlText w:val="第%1章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pStyle w:val="4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  <w:sz w:val="24"/>
        <w:szCs w:val="24"/>
      </w:rPr>
    </w:lvl>
    <w:lvl w:ilvl="4" w:tentative="0">
      <w:start w:val="1"/>
      <w:numFmt w:val="decimal"/>
      <w:isLgl/>
      <w:lvlText w:val="%1.%2.%3.%4.%5 "/>
      <w:lvlJc w:val="left"/>
      <w:pPr>
        <w:tabs>
          <w:tab w:val="left" w:pos="1008"/>
        </w:tabs>
        <w:ind w:left="1008" w:hanging="1008"/>
      </w:pPr>
      <w:rPr>
        <w:rFonts w:hint="eastAsia"/>
        <w:sz w:val="28"/>
        <w:szCs w:val="28"/>
      </w:rPr>
    </w:lvl>
    <w:lvl w:ilvl="5" w:tentative="0">
      <w:start w:val="1"/>
      <w:numFmt w:val="decimal"/>
      <w:isLgl/>
      <w:lvlText w:val=" %1.%2.%3.%4.%5.%6 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7619608E"/>
    <w:multiLevelType w:val="multilevel"/>
    <w:tmpl w:val="7619608E"/>
    <w:lvl w:ilvl="0" w:tentative="0">
      <w:start w:val="1"/>
      <w:numFmt w:val="decimal"/>
      <w:pStyle w:val="2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bookFoldPrinting w:val="1"/>
  <w:bookFoldPrintingSheets w:val="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mZWRjZjNjYTE4ZDczOGNjZGQ3NDY0MTE3ODc5NDQifQ=="/>
  </w:docVars>
  <w:rsids>
    <w:rsidRoot w:val="26630CC9"/>
    <w:rsid w:val="00010AA6"/>
    <w:rsid w:val="000204AC"/>
    <w:rsid w:val="00043334"/>
    <w:rsid w:val="000657F1"/>
    <w:rsid w:val="0009025B"/>
    <w:rsid w:val="00095A17"/>
    <w:rsid w:val="000D6F4A"/>
    <w:rsid w:val="000E35AD"/>
    <w:rsid w:val="0010341C"/>
    <w:rsid w:val="00121857"/>
    <w:rsid w:val="0013098D"/>
    <w:rsid w:val="0013559F"/>
    <w:rsid w:val="00140468"/>
    <w:rsid w:val="00157F83"/>
    <w:rsid w:val="00173A1F"/>
    <w:rsid w:val="00177446"/>
    <w:rsid w:val="00180054"/>
    <w:rsid w:val="00194E8D"/>
    <w:rsid w:val="001A1DB1"/>
    <w:rsid w:val="001B0754"/>
    <w:rsid w:val="001B6475"/>
    <w:rsid w:val="001D6278"/>
    <w:rsid w:val="001E22F8"/>
    <w:rsid w:val="001E643A"/>
    <w:rsid w:val="001E7604"/>
    <w:rsid w:val="001E7CC6"/>
    <w:rsid w:val="00211E14"/>
    <w:rsid w:val="0021612C"/>
    <w:rsid w:val="00246C59"/>
    <w:rsid w:val="002560CC"/>
    <w:rsid w:val="00263436"/>
    <w:rsid w:val="002709C6"/>
    <w:rsid w:val="002817AC"/>
    <w:rsid w:val="002D34A1"/>
    <w:rsid w:val="002E443D"/>
    <w:rsid w:val="003057A3"/>
    <w:rsid w:val="0033687D"/>
    <w:rsid w:val="00343837"/>
    <w:rsid w:val="00353614"/>
    <w:rsid w:val="003658E2"/>
    <w:rsid w:val="00393512"/>
    <w:rsid w:val="003A15F8"/>
    <w:rsid w:val="003A1FCB"/>
    <w:rsid w:val="003B1577"/>
    <w:rsid w:val="003C05F1"/>
    <w:rsid w:val="003C45C3"/>
    <w:rsid w:val="003C4CF8"/>
    <w:rsid w:val="003D74C6"/>
    <w:rsid w:val="003E1E96"/>
    <w:rsid w:val="003E474C"/>
    <w:rsid w:val="003F2EA1"/>
    <w:rsid w:val="00417624"/>
    <w:rsid w:val="00450E93"/>
    <w:rsid w:val="004903BE"/>
    <w:rsid w:val="0049236B"/>
    <w:rsid w:val="004C43A3"/>
    <w:rsid w:val="004D7091"/>
    <w:rsid w:val="00501456"/>
    <w:rsid w:val="00506453"/>
    <w:rsid w:val="00531338"/>
    <w:rsid w:val="005462FF"/>
    <w:rsid w:val="00556AAA"/>
    <w:rsid w:val="00556E72"/>
    <w:rsid w:val="00570B4E"/>
    <w:rsid w:val="00583D37"/>
    <w:rsid w:val="0059431A"/>
    <w:rsid w:val="005A2D5F"/>
    <w:rsid w:val="005B20ED"/>
    <w:rsid w:val="005B7404"/>
    <w:rsid w:val="00601CA0"/>
    <w:rsid w:val="00621936"/>
    <w:rsid w:val="00625AC4"/>
    <w:rsid w:val="00634C6F"/>
    <w:rsid w:val="006408BA"/>
    <w:rsid w:val="0064230B"/>
    <w:rsid w:val="00647C8C"/>
    <w:rsid w:val="00665D46"/>
    <w:rsid w:val="00683982"/>
    <w:rsid w:val="00685E46"/>
    <w:rsid w:val="006B4C3E"/>
    <w:rsid w:val="006D1DF4"/>
    <w:rsid w:val="0070626A"/>
    <w:rsid w:val="00716F33"/>
    <w:rsid w:val="00724ACD"/>
    <w:rsid w:val="007451B2"/>
    <w:rsid w:val="00750919"/>
    <w:rsid w:val="00755DF9"/>
    <w:rsid w:val="00776979"/>
    <w:rsid w:val="007817B9"/>
    <w:rsid w:val="00792255"/>
    <w:rsid w:val="007E0306"/>
    <w:rsid w:val="007E343F"/>
    <w:rsid w:val="007F2FE7"/>
    <w:rsid w:val="00850EF1"/>
    <w:rsid w:val="008778D2"/>
    <w:rsid w:val="008874CB"/>
    <w:rsid w:val="00895089"/>
    <w:rsid w:val="008A66F0"/>
    <w:rsid w:val="008B4839"/>
    <w:rsid w:val="008B6497"/>
    <w:rsid w:val="008E0B8C"/>
    <w:rsid w:val="008F6C12"/>
    <w:rsid w:val="0090189C"/>
    <w:rsid w:val="00913EA6"/>
    <w:rsid w:val="00977AA3"/>
    <w:rsid w:val="009A5126"/>
    <w:rsid w:val="009A5FA0"/>
    <w:rsid w:val="009A7197"/>
    <w:rsid w:val="009B30FC"/>
    <w:rsid w:val="009B7917"/>
    <w:rsid w:val="009E4BC4"/>
    <w:rsid w:val="00A00336"/>
    <w:rsid w:val="00A22703"/>
    <w:rsid w:val="00A323A4"/>
    <w:rsid w:val="00A6249C"/>
    <w:rsid w:val="00A67E90"/>
    <w:rsid w:val="00A75B81"/>
    <w:rsid w:val="00A85133"/>
    <w:rsid w:val="00A8786C"/>
    <w:rsid w:val="00AA538F"/>
    <w:rsid w:val="00AC5186"/>
    <w:rsid w:val="00AD0BD6"/>
    <w:rsid w:val="00AF21E9"/>
    <w:rsid w:val="00AF2C63"/>
    <w:rsid w:val="00B1113A"/>
    <w:rsid w:val="00B13545"/>
    <w:rsid w:val="00B16FF4"/>
    <w:rsid w:val="00B51CAA"/>
    <w:rsid w:val="00B56F69"/>
    <w:rsid w:val="00B571CE"/>
    <w:rsid w:val="00B65A78"/>
    <w:rsid w:val="00B77FEE"/>
    <w:rsid w:val="00BA1433"/>
    <w:rsid w:val="00BB3134"/>
    <w:rsid w:val="00BC39CE"/>
    <w:rsid w:val="00BE12F0"/>
    <w:rsid w:val="00BE4261"/>
    <w:rsid w:val="00BF19BB"/>
    <w:rsid w:val="00BF6CF7"/>
    <w:rsid w:val="00C04BE9"/>
    <w:rsid w:val="00C055CB"/>
    <w:rsid w:val="00C0653B"/>
    <w:rsid w:val="00C167DA"/>
    <w:rsid w:val="00C1784D"/>
    <w:rsid w:val="00C47953"/>
    <w:rsid w:val="00C607DE"/>
    <w:rsid w:val="00C727FA"/>
    <w:rsid w:val="00C75797"/>
    <w:rsid w:val="00C94F4E"/>
    <w:rsid w:val="00CA0F93"/>
    <w:rsid w:val="00CC125D"/>
    <w:rsid w:val="00CF1107"/>
    <w:rsid w:val="00D056EC"/>
    <w:rsid w:val="00D063E3"/>
    <w:rsid w:val="00D1024B"/>
    <w:rsid w:val="00D13861"/>
    <w:rsid w:val="00D15117"/>
    <w:rsid w:val="00D26915"/>
    <w:rsid w:val="00D2707E"/>
    <w:rsid w:val="00D31EDD"/>
    <w:rsid w:val="00D71E35"/>
    <w:rsid w:val="00D936DC"/>
    <w:rsid w:val="00D95AE8"/>
    <w:rsid w:val="00DA3404"/>
    <w:rsid w:val="00DA5D19"/>
    <w:rsid w:val="00DE1676"/>
    <w:rsid w:val="00E06209"/>
    <w:rsid w:val="00E173D0"/>
    <w:rsid w:val="00E3680D"/>
    <w:rsid w:val="00E372E2"/>
    <w:rsid w:val="00E95DD8"/>
    <w:rsid w:val="00E97CC4"/>
    <w:rsid w:val="00EA5465"/>
    <w:rsid w:val="00EB201B"/>
    <w:rsid w:val="00EE7147"/>
    <w:rsid w:val="00EE7196"/>
    <w:rsid w:val="00F11F86"/>
    <w:rsid w:val="00F25EA3"/>
    <w:rsid w:val="00F3469B"/>
    <w:rsid w:val="00F35CDC"/>
    <w:rsid w:val="00F419D7"/>
    <w:rsid w:val="00F46ABE"/>
    <w:rsid w:val="00F46DCD"/>
    <w:rsid w:val="00F53C70"/>
    <w:rsid w:val="00F54608"/>
    <w:rsid w:val="00F674B8"/>
    <w:rsid w:val="00F73398"/>
    <w:rsid w:val="00F97257"/>
    <w:rsid w:val="00FA0003"/>
    <w:rsid w:val="00FA2B76"/>
    <w:rsid w:val="00FB25AA"/>
    <w:rsid w:val="00FB4879"/>
    <w:rsid w:val="00FC14FB"/>
    <w:rsid w:val="00FD09D1"/>
    <w:rsid w:val="00FE5FB8"/>
    <w:rsid w:val="052438CC"/>
    <w:rsid w:val="09F40FF0"/>
    <w:rsid w:val="0C017A89"/>
    <w:rsid w:val="0D1742E5"/>
    <w:rsid w:val="14DD2E54"/>
    <w:rsid w:val="1E353F45"/>
    <w:rsid w:val="1F201D2E"/>
    <w:rsid w:val="235C1401"/>
    <w:rsid w:val="23A72B7A"/>
    <w:rsid w:val="256B40C4"/>
    <w:rsid w:val="26630CC9"/>
    <w:rsid w:val="2B453C7F"/>
    <w:rsid w:val="2D426A6D"/>
    <w:rsid w:val="2ED80423"/>
    <w:rsid w:val="30936D44"/>
    <w:rsid w:val="337D07EE"/>
    <w:rsid w:val="33DF60A4"/>
    <w:rsid w:val="3B2434F5"/>
    <w:rsid w:val="3C3813DB"/>
    <w:rsid w:val="3F841B92"/>
    <w:rsid w:val="40FF52B5"/>
    <w:rsid w:val="43841772"/>
    <w:rsid w:val="473367BF"/>
    <w:rsid w:val="48475D0A"/>
    <w:rsid w:val="4AD22D47"/>
    <w:rsid w:val="4E44018F"/>
    <w:rsid w:val="4FF44AB0"/>
    <w:rsid w:val="51935037"/>
    <w:rsid w:val="51C0115F"/>
    <w:rsid w:val="53B96C98"/>
    <w:rsid w:val="59C177C9"/>
    <w:rsid w:val="5B784E50"/>
    <w:rsid w:val="5B7E19C2"/>
    <w:rsid w:val="5BC40E35"/>
    <w:rsid w:val="5DC07A16"/>
    <w:rsid w:val="5F300B00"/>
    <w:rsid w:val="5F91207B"/>
    <w:rsid w:val="6C3118E9"/>
    <w:rsid w:val="6CBC6C87"/>
    <w:rsid w:val="6D9C4786"/>
    <w:rsid w:val="70291EB6"/>
    <w:rsid w:val="72DC74D0"/>
    <w:rsid w:val="786618CC"/>
    <w:rsid w:val="7D345E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eastAsia="黑体"/>
      <w:b/>
      <w:bCs/>
      <w:kern w:val="44"/>
      <w:sz w:val="30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2"/>
      </w:numPr>
      <w:spacing w:before="160" w:after="160" w:line="440" w:lineRule="atLeast"/>
      <w:outlineLvl w:val="1"/>
    </w:pPr>
    <w:rPr>
      <w:b/>
      <w:kern w:val="0"/>
      <w:sz w:val="32"/>
      <w:szCs w:val="20"/>
    </w:rPr>
  </w:style>
  <w:style w:type="paragraph" w:styleId="4">
    <w:name w:val="heading 3"/>
    <w:basedOn w:val="1"/>
    <w:next w:val="1"/>
    <w:qFormat/>
    <w:uiPriority w:val="0"/>
    <w:pPr>
      <w:keepNext/>
      <w:keepLines/>
      <w:numPr>
        <w:ilvl w:val="2"/>
        <w:numId w:val="2"/>
      </w:numPr>
      <w:spacing w:before="120" w:after="120" w:line="440" w:lineRule="atLeast"/>
      <w:outlineLvl w:val="2"/>
    </w:pPr>
    <w:rPr>
      <w:rFonts w:ascii="Garamond" w:hAnsi="Garamond"/>
      <w:b/>
      <w:kern w:val="0"/>
      <w:sz w:val="30"/>
      <w:szCs w:val="20"/>
    </w:rPr>
  </w:style>
  <w:style w:type="paragraph" w:styleId="5">
    <w:name w:val="heading 4"/>
    <w:basedOn w:val="1"/>
    <w:next w:val="1"/>
    <w:qFormat/>
    <w:uiPriority w:val="0"/>
    <w:pPr>
      <w:keepNext/>
      <w:keepLines/>
      <w:numPr>
        <w:ilvl w:val="3"/>
        <w:numId w:val="2"/>
      </w:numPr>
      <w:spacing w:before="160" w:after="100" w:line="440" w:lineRule="atLeast"/>
      <w:jc w:val="left"/>
      <w:outlineLvl w:val="3"/>
    </w:pPr>
    <w:rPr>
      <w:b/>
      <w:kern w:val="0"/>
      <w:sz w:val="28"/>
      <w:szCs w:val="20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14"/>
    <w:qFormat/>
    <w:uiPriority w:val="0"/>
    <w:rPr>
      <w:sz w:val="18"/>
      <w:szCs w:val="18"/>
    </w:rPr>
  </w:style>
  <w:style w:type="paragraph" w:styleId="7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basedOn w:val="12"/>
    <w:qFormat/>
    <w:uiPriority w:val="0"/>
    <w:rPr>
      <w:color w:val="0000FF"/>
      <w:u w:val="single"/>
    </w:rPr>
  </w:style>
  <w:style w:type="character" w:customStyle="1" w:styleId="14">
    <w:name w:val="批注框文本 字符"/>
    <w:link w:val="6"/>
    <w:qFormat/>
    <w:uiPriority w:val="0"/>
    <w:rPr>
      <w:kern w:val="2"/>
      <w:sz w:val="18"/>
      <w:szCs w:val="18"/>
    </w:rPr>
  </w:style>
  <w:style w:type="character" w:customStyle="1" w:styleId="15">
    <w:name w:val="页脚 字符"/>
    <w:link w:val="7"/>
    <w:qFormat/>
    <w:uiPriority w:val="99"/>
    <w:rPr>
      <w:kern w:val="2"/>
      <w:sz w:val="18"/>
      <w:szCs w:val="18"/>
    </w:rPr>
  </w:style>
  <w:style w:type="paragraph" w:customStyle="1" w:styleId="16">
    <w:name w:val="封皮"/>
    <w:basedOn w:val="1"/>
    <w:qFormat/>
    <w:uiPriority w:val="0"/>
    <w:pPr>
      <w:jc w:val="center"/>
    </w:pPr>
    <w:rPr>
      <w:rFonts w:eastAsia="黑体"/>
      <w:b/>
      <w:sz w:val="72"/>
    </w:rPr>
  </w:style>
  <w:style w:type="paragraph" w:customStyle="1" w:styleId="17">
    <w:name w:val="正文1"/>
    <w:next w:val="18"/>
    <w:qFormat/>
    <w:uiPriority w:val="0"/>
    <w:pPr>
      <w:widowControl w:val="0"/>
      <w:suppressAutoHyphens w:val="0"/>
      <w:bidi w:val="0"/>
      <w:spacing w:beforeLines="0" w:beforeAutospacing="0" w:afterLines="0" w:afterAutospacing="0"/>
      <w:jc w:val="both"/>
    </w:pPr>
    <w:rPr>
      <w:rFonts w:ascii="Calibri" w:hAnsi="Calibri" w:eastAsia="宋体" w:cs="Times New Roman"/>
      <w:color w:val="auto"/>
      <w:kern w:val="2"/>
      <w:sz w:val="24"/>
      <w:szCs w:val="24"/>
      <w:lang w:val="en-US" w:eastAsia="zh-CN" w:bidi="ar-SA"/>
    </w:rPr>
  </w:style>
  <w:style w:type="paragraph" w:customStyle="1" w:styleId="18">
    <w:name w:val="正文文本1"/>
    <w:basedOn w:val="17"/>
    <w:unhideWhenUsed/>
    <w:qFormat/>
    <w:uiPriority w:val="0"/>
    <w:pPr>
      <w:spacing w:beforeLines="0" w:beforeAutospacing="0" w:after="120" w:afterAutospacing="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2024&#24180;&#25991;&#20070;&#27169;&#29256;-24&#24180;8&#26376;2&#26085;&#26356;&#26032;\2024&#24180;&#25991;&#20070;&#27169;&#29256;-24&#24180;8&#26376;2&#26085;&#26356;&#26032;\22-4.&#34892;&#25919;&#22788;&#32602;&#20915;&#23450;&#20070;&#65288;&#26410;&#30003;&#36777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22-4.行政处罚决定书（未申辩）.dot</Template>
  <Pages>4</Pages>
  <Words>1877</Words>
  <Characters>2186</Characters>
  <Lines>8</Lines>
  <Paragraphs>2</Paragraphs>
  <TotalTime>3</TotalTime>
  <ScaleCrop>false</ScaleCrop>
  <LinksUpToDate>false</LinksUpToDate>
  <CharactersWithSpaces>2308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2024-08-22T02:36:00Z</dcterms:created>
  <dc:creator>暗香</dc:creator>
  <cp:lastModifiedBy>暗香</cp:lastModifiedBy>
  <dcterms:modified xsi:type="dcterms:W3CDTF">2024-09-04T02:37:07Z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4FD5EADBECB04F5BA2396E5E4953C11A_11</vt:lpwstr>
  </property>
</Properties>
</file>