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76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both"/>
        <w:textAlignment w:val="auto"/>
        <w:rPr>
          <w:rFonts w:eastAsia="仿宋_GB2312"/>
          <w:color w:val="auto"/>
          <w:spacing w:val="1"/>
          <w:kern w:val="0"/>
          <w:position w:val="-2"/>
          <w:sz w:val="32"/>
          <w:szCs w:val="32"/>
        </w:rPr>
      </w:pPr>
    </w:p>
    <w:p>
      <w:pPr>
        <w:tabs>
          <w:tab w:val="left" w:pos="4600"/>
        </w:tabs>
        <w:autoSpaceDE w:val="0"/>
        <w:autoSpaceDN w:val="0"/>
        <w:adjustRightInd w:val="0"/>
        <w:snapToGrid w:val="0"/>
        <w:spacing w:line="360" w:lineRule="auto"/>
        <w:ind w:right="-119"/>
        <w:jc w:val="center"/>
        <w:rPr>
          <w:rFonts w:eastAsia="仿宋_GB2312"/>
          <w:color w:val="auto"/>
          <w:kern w:val="0"/>
          <w:position w:val="-2"/>
          <w:sz w:val="32"/>
          <w:szCs w:val="32"/>
        </w:rPr>
      </w:pPr>
      <w:r>
        <w:rPr>
          <w:rFonts w:eastAsia="仿宋_GB2312"/>
          <w:color w:val="auto"/>
          <w:spacing w:val="1"/>
          <w:kern w:val="0"/>
          <w:position w:val="-2"/>
          <w:sz w:val="32"/>
          <w:szCs w:val="32"/>
        </w:rPr>
        <w:t>津市</w:t>
      </w:r>
      <w:bookmarkEnd w:id="1"/>
      <w:r>
        <w:rPr>
          <w:rFonts w:eastAsia="仿宋_GB2312"/>
          <w:color w:val="auto"/>
          <w:spacing w:val="1"/>
          <w:kern w:val="0"/>
          <w:position w:val="-2"/>
          <w:sz w:val="32"/>
          <w:szCs w:val="32"/>
        </w:rPr>
        <w:t>环罚字</w:t>
      </w:r>
      <w:bookmarkStart w:id="2" w:name="PO_7_NianDuBianHao"/>
      <w:r>
        <w:rPr>
          <w:rFonts w:eastAsia="仿宋_GB2312"/>
          <w:color w:val="auto"/>
          <w:kern w:val="0"/>
          <w:position w:val="-2"/>
          <w:sz w:val="32"/>
          <w:szCs w:val="32"/>
        </w:rPr>
        <w:t>〔20</w:t>
      </w:r>
      <w:bookmarkEnd w:id="2"/>
      <w:r>
        <w:rPr>
          <w:rFonts w:hint="eastAsia" w:eastAsia="仿宋_GB2312"/>
          <w:color w:val="auto"/>
          <w:kern w:val="0"/>
          <w:position w:val="-2"/>
          <w:sz w:val="32"/>
          <w:szCs w:val="32"/>
          <w:lang w:val="en-US" w:eastAsia="zh-CN"/>
        </w:rPr>
        <w:t>24</w:t>
      </w:r>
      <w:r>
        <w:rPr>
          <w:rFonts w:eastAsia="仿宋_GB2312"/>
          <w:color w:val="auto"/>
          <w:kern w:val="0"/>
          <w:position w:val="-2"/>
          <w:sz w:val="32"/>
          <w:szCs w:val="32"/>
        </w:rPr>
        <w:t>〕</w:t>
      </w:r>
      <w:r>
        <w:rPr>
          <w:rFonts w:hint="eastAsia" w:eastAsia="仿宋_GB2312"/>
          <w:color w:val="auto"/>
          <w:kern w:val="0"/>
          <w:sz w:val="32"/>
          <w:szCs w:val="32"/>
          <w:lang w:val="en-US" w:eastAsia="zh-CN"/>
        </w:rPr>
        <w:t>44</w:t>
      </w:r>
      <w:r>
        <w:rPr>
          <w:rFonts w:eastAsia="仿宋_GB2312"/>
          <w:color w:val="auto"/>
          <w:kern w:val="0"/>
          <w:position w:val="-2"/>
          <w:sz w:val="32"/>
          <w:szCs w:val="32"/>
        </w:rPr>
        <w:t>号</w:t>
      </w:r>
    </w:p>
    <w:p>
      <w:pPr>
        <w:tabs>
          <w:tab w:val="left" w:pos="4600"/>
        </w:tabs>
        <w:autoSpaceDE w:val="0"/>
        <w:autoSpaceDN w:val="0"/>
        <w:adjustRightInd w:val="0"/>
        <w:snapToGrid w:val="0"/>
        <w:spacing w:line="360" w:lineRule="auto"/>
        <w:ind w:right="-119"/>
        <w:jc w:val="center"/>
        <w:rPr>
          <w:rFonts w:eastAsia="仿宋_GB2312"/>
          <w:color w:val="auto"/>
          <w:kern w:val="0"/>
          <w:position w:val="-2"/>
          <w:sz w:val="32"/>
          <w:szCs w:val="32"/>
        </w:rPr>
      </w:pPr>
    </w:p>
    <w:p>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600" w:lineRule="exact"/>
        <w:jc w:val="both"/>
        <w:textAlignment w:val="auto"/>
        <w:rPr>
          <w:rFonts w:eastAsia="仿宋_GB2312"/>
          <w:color w:val="auto"/>
          <w:kern w:val="0"/>
          <w:sz w:val="32"/>
          <w:szCs w:val="32"/>
        </w:rPr>
      </w:pPr>
      <w:r>
        <w:rPr>
          <w:rFonts w:hint="eastAsia" w:eastAsia="仿宋_GB2312"/>
          <w:color w:val="auto"/>
          <w:kern w:val="0"/>
          <w:sz w:val="32"/>
          <w:szCs w:val="32"/>
          <w:lang w:val="en-US" w:eastAsia="zh-CN"/>
        </w:rPr>
        <w:t>天津华通金属建材有限公司</w:t>
      </w:r>
      <w:r>
        <w:rPr>
          <w:rFonts w:eastAsia="仿宋_GB2312"/>
          <w:color w:val="auto"/>
          <w:kern w:val="0"/>
          <w:sz w:val="32"/>
          <w:szCs w:val="32"/>
        </w:rPr>
        <w:t>：</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600" w:lineRule="exact"/>
        <w:jc w:val="both"/>
        <w:textAlignment w:val="auto"/>
        <w:rPr>
          <w:rFonts w:hint="eastAsia" w:eastAsia="仿宋_GB2312"/>
          <w:color w:val="auto"/>
          <w:kern w:val="0"/>
          <w:sz w:val="32"/>
          <w:szCs w:val="32"/>
        </w:rPr>
      </w:pPr>
      <w:r>
        <w:rPr>
          <w:rFonts w:eastAsia="仿宋_GB2312"/>
          <w:color w:val="auto"/>
          <w:kern w:val="0"/>
          <w:sz w:val="32"/>
          <w:szCs w:val="32"/>
        </w:rPr>
        <w:t>统一社会信用代码：</w:t>
      </w:r>
      <w:r>
        <w:rPr>
          <w:rFonts w:hint="eastAsia" w:eastAsia="仿宋_GB2312"/>
          <w:color w:val="auto"/>
          <w:kern w:val="0"/>
          <w:sz w:val="32"/>
          <w:szCs w:val="32"/>
          <w:lang w:val="en-US" w:eastAsia="zh-CN"/>
        </w:rPr>
        <w:t>91120223093746871G</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600" w:lineRule="exact"/>
        <w:jc w:val="both"/>
        <w:textAlignment w:val="auto"/>
        <w:rPr>
          <w:rFonts w:hint="eastAsia" w:eastAsia="仿宋_GB2312"/>
          <w:color w:val="auto"/>
          <w:kern w:val="0"/>
          <w:sz w:val="32"/>
          <w:szCs w:val="32"/>
        </w:rPr>
      </w:pPr>
      <w:r>
        <w:rPr>
          <w:rFonts w:eastAsia="仿宋_GB2312"/>
          <w:color w:val="auto"/>
          <w:kern w:val="0"/>
          <w:sz w:val="32"/>
          <w:szCs w:val="32"/>
        </w:rPr>
        <w:t>地址：</w:t>
      </w:r>
      <w:r>
        <w:rPr>
          <w:rFonts w:hint="eastAsia" w:eastAsia="仿宋_GB2312"/>
          <w:color w:val="auto"/>
          <w:kern w:val="0"/>
          <w:sz w:val="32"/>
          <w:szCs w:val="32"/>
          <w:lang w:val="en-US" w:eastAsia="zh-CN"/>
        </w:rPr>
        <w:t>天津市滨海新区中塘镇杨柳庄村金坛加油站西400米</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jc w:val="both"/>
        <w:textAlignment w:val="auto"/>
        <w:rPr>
          <w:rFonts w:hint="eastAsia" w:eastAsia="仿宋_GB2312"/>
          <w:color w:val="auto"/>
          <w:kern w:val="0"/>
          <w:sz w:val="32"/>
          <w:szCs w:val="32"/>
        </w:rPr>
      </w:pPr>
      <w:r>
        <w:rPr>
          <w:rFonts w:hint="eastAsia" w:eastAsia="仿宋_GB2312"/>
          <w:color w:val="auto"/>
          <w:kern w:val="0"/>
          <w:sz w:val="32"/>
          <w:szCs w:val="32"/>
          <w:lang w:eastAsia="zh-CN"/>
        </w:rPr>
        <w:t>法定代表人：</w:t>
      </w:r>
      <w:r>
        <w:rPr>
          <w:rFonts w:hint="eastAsia" w:eastAsia="仿宋_GB2312"/>
          <w:color w:val="auto"/>
          <w:kern w:val="0"/>
          <w:sz w:val="32"/>
          <w:szCs w:val="32"/>
          <w:lang w:val="en-US" w:eastAsia="zh-CN"/>
        </w:rPr>
        <w:t>王建年</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jc w:val="both"/>
        <w:textAlignment w:val="auto"/>
        <w:rPr>
          <w:rFonts w:eastAsia="仿宋_GB2312"/>
          <w:color w:val="auto"/>
          <w:kern w:val="0"/>
          <w:sz w:val="32"/>
          <w:szCs w:val="32"/>
        </w:rPr>
      </w:pPr>
      <w:r>
        <w:rPr>
          <w:rFonts w:eastAsia="仿宋_GB2312"/>
          <w:color w:val="auto"/>
          <w:kern w:val="0"/>
          <w:sz w:val="32"/>
          <w:szCs w:val="32"/>
        </w:rPr>
        <w:t xml:space="preserve">    你单位环境违法</w:t>
      </w:r>
      <w:r>
        <w:rPr>
          <w:rFonts w:eastAsia="仿宋_GB2312"/>
          <w:color w:val="auto"/>
          <w:kern w:val="0"/>
          <w:position w:val="-2"/>
          <w:sz w:val="32"/>
          <w:szCs w:val="32"/>
        </w:rPr>
        <w:t>一案，我局经调查，现已审查终结。</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rPr>
      </w:pPr>
      <w:r>
        <w:rPr>
          <w:rFonts w:eastAsia="黑体"/>
          <w:color w:val="auto"/>
          <w:kern w:val="0"/>
          <w:sz w:val="32"/>
          <w:szCs w:val="32"/>
        </w:rPr>
        <w:t>一、调查情况及发现的环境违法事实、证据和陈述申辩（听证）及采纳情况</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我局于2024年1月3日对你单位进行了调查，参考你单位《天津华通金属建材有限公司年产20万平方铝幕墙单板项目现状环境影响评估报告》及备案意见、《排污许可证副本》（证书编号：91120223093746871G001V），你单位喷涂、烘干工序产生挥发性有机废气（VOCs），经光离复合催化+活性炭吸附治理设施处理后，通过1根15m高排气筒排放。经调查，发现你单位实施了以下环境违法行为：</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现场检查时，你单位烤漆烘干工序正在生产，配套的废气治理设施未使用，风机未开启。</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以上事实，有</w:t>
      </w:r>
      <w:bookmarkStart w:id="3" w:name="PO_4_ShiShiZhengJu"/>
      <w:r>
        <w:rPr>
          <w:rFonts w:hint="eastAsia" w:eastAsia="仿宋_GB2312"/>
          <w:color w:val="auto"/>
          <w:sz w:val="32"/>
          <w:szCs w:val="32"/>
          <w:lang w:val="en-US" w:eastAsia="zh-CN"/>
        </w:rPr>
        <w:t>《天津市生态环境局现场检查（勘察）笔录》《天津市生态环境局调查询问笔录》、你单位提供的《生产记录单》《天津华通金属建材有限公司年产20万平方铝幕墙单板项目现状环境影响评估报告》及备案意见、《排污许可证副本》（证书编号：91120223093746871G001V）、现场拍摄的视频以及营业执照复印件</w:t>
      </w:r>
      <w:bookmarkEnd w:id="3"/>
      <w:r>
        <w:rPr>
          <w:rFonts w:hint="eastAsia" w:eastAsia="仿宋_GB2312"/>
          <w:color w:val="auto"/>
          <w:sz w:val="32"/>
          <w:szCs w:val="32"/>
          <w:lang w:val="en-US" w:eastAsia="zh-CN"/>
        </w:rPr>
        <w:t>等证据为凭。</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仿宋_GB2312"/>
          <w:color w:val="auto"/>
          <w:kern w:val="0"/>
          <w:sz w:val="32"/>
          <w:szCs w:val="32"/>
        </w:rPr>
      </w:pPr>
      <w:r>
        <w:rPr>
          <w:rFonts w:eastAsia="仿宋_GB2312"/>
          <w:color w:val="auto"/>
          <w:sz w:val="32"/>
          <w:szCs w:val="32"/>
        </w:rPr>
        <w:t>你单位上述行为违反了</w:t>
      </w:r>
      <w:r>
        <w:rPr>
          <w:rFonts w:hint="eastAsia" w:eastAsia="仿宋_GB2312"/>
          <w:color w:val="auto"/>
          <w:sz w:val="32"/>
          <w:szCs w:val="32"/>
          <w:lang w:val="en-US" w:eastAsia="zh-CN"/>
        </w:rPr>
        <w:t>《中华人民共和国大气污染防治法》第四十五条的规定</w:t>
      </w:r>
      <w:r>
        <w:rPr>
          <w:rFonts w:eastAsia="仿宋_GB2312"/>
          <w:color w:val="auto"/>
          <w:kern w:val="0"/>
          <w:sz w:val="32"/>
          <w:szCs w:val="32"/>
        </w:rPr>
        <w:t>，</w:t>
      </w:r>
      <w:r>
        <w:rPr>
          <w:rFonts w:hint="eastAsia" w:eastAsia="仿宋_GB2312"/>
          <w:color w:val="auto"/>
          <w:sz w:val="32"/>
          <w:szCs w:val="32"/>
          <w:lang w:val="en-US" w:eastAsia="zh-CN"/>
        </w:rPr>
        <w:t>属于产生含挥发性有机物废气的生产和服务活动，未按照规定使用污染防治设施，</w:t>
      </w:r>
      <w:r>
        <w:rPr>
          <w:rFonts w:eastAsia="仿宋_GB2312"/>
          <w:color w:val="auto"/>
          <w:kern w:val="0"/>
          <w:sz w:val="32"/>
          <w:szCs w:val="32"/>
        </w:rPr>
        <w:t>依法应当予以处罚。</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rPr>
      </w:pPr>
      <w:r>
        <w:rPr>
          <w:rFonts w:eastAsia="仿宋_GB2312"/>
          <w:color w:val="auto"/>
          <w:kern w:val="0"/>
          <w:sz w:val="32"/>
          <w:szCs w:val="32"/>
        </w:rPr>
        <w:t>我局于20</w:t>
      </w:r>
      <w:r>
        <w:rPr>
          <w:rFonts w:hint="eastAsia" w:eastAsia="仿宋_GB2312"/>
          <w:color w:val="auto"/>
          <w:kern w:val="0"/>
          <w:sz w:val="32"/>
          <w:szCs w:val="32"/>
          <w:lang w:val="en-US" w:eastAsia="zh-CN"/>
        </w:rPr>
        <w:t>24</w:t>
      </w:r>
      <w:r>
        <w:rPr>
          <w:rFonts w:eastAsia="仿宋_GB2312"/>
          <w:color w:val="auto"/>
          <w:kern w:val="0"/>
          <w:sz w:val="32"/>
          <w:szCs w:val="32"/>
        </w:rPr>
        <w:t>年</w:t>
      </w:r>
      <w:r>
        <w:rPr>
          <w:rFonts w:hint="eastAsia" w:eastAsia="仿宋_GB2312"/>
          <w:color w:val="auto"/>
          <w:kern w:val="0"/>
          <w:sz w:val="32"/>
          <w:szCs w:val="32"/>
          <w:lang w:val="en-US" w:eastAsia="zh-CN"/>
        </w:rPr>
        <w:t>2</w:t>
      </w:r>
      <w:r>
        <w:rPr>
          <w:rFonts w:eastAsia="仿宋_GB2312"/>
          <w:color w:val="auto"/>
          <w:kern w:val="0"/>
          <w:sz w:val="32"/>
          <w:szCs w:val="32"/>
        </w:rPr>
        <w:t>月</w:t>
      </w:r>
      <w:r>
        <w:rPr>
          <w:rFonts w:hint="eastAsia" w:eastAsia="仿宋_GB2312"/>
          <w:color w:val="auto"/>
          <w:kern w:val="0"/>
          <w:sz w:val="32"/>
          <w:szCs w:val="32"/>
          <w:lang w:val="en-US" w:eastAsia="zh-CN"/>
        </w:rPr>
        <w:t>20</w:t>
      </w:r>
      <w:r>
        <w:rPr>
          <w:rFonts w:eastAsia="仿宋_GB2312"/>
          <w:color w:val="auto"/>
          <w:kern w:val="0"/>
          <w:sz w:val="32"/>
          <w:szCs w:val="32"/>
        </w:rPr>
        <w:t>日以《天津市生态环境局行政处罚</w:t>
      </w:r>
      <w:r>
        <w:rPr>
          <w:rFonts w:hint="eastAsia" w:eastAsia="仿宋_GB2312"/>
          <w:color w:val="auto"/>
          <w:kern w:val="0"/>
          <w:sz w:val="32"/>
          <w:szCs w:val="32"/>
          <w:lang w:eastAsia="zh-CN"/>
        </w:rPr>
        <w:t>事先</w:t>
      </w:r>
      <w:r>
        <w:rPr>
          <w:rFonts w:eastAsia="仿宋_GB2312"/>
          <w:color w:val="auto"/>
          <w:kern w:val="0"/>
          <w:sz w:val="32"/>
          <w:szCs w:val="32"/>
        </w:rPr>
        <w:t>告知书》（津市环</w:t>
      </w:r>
      <w:r>
        <w:rPr>
          <w:rFonts w:hint="eastAsia" w:eastAsia="仿宋_GB2312"/>
          <w:color w:val="auto"/>
          <w:kern w:val="0"/>
          <w:sz w:val="32"/>
          <w:szCs w:val="32"/>
          <w:lang w:eastAsia="zh-CN"/>
        </w:rPr>
        <w:t>事</w:t>
      </w:r>
      <w:r>
        <w:rPr>
          <w:rFonts w:eastAsia="仿宋_GB2312"/>
          <w:color w:val="auto"/>
          <w:kern w:val="0"/>
          <w:sz w:val="32"/>
          <w:szCs w:val="32"/>
        </w:rPr>
        <w:t>告字〔20</w:t>
      </w:r>
      <w:r>
        <w:rPr>
          <w:rFonts w:hint="eastAsia" w:eastAsia="仿宋_GB2312"/>
          <w:color w:val="auto"/>
          <w:kern w:val="0"/>
          <w:sz w:val="32"/>
          <w:szCs w:val="32"/>
          <w:lang w:val="en-US" w:eastAsia="zh-CN"/>
        </w:rPr>
        <w:t>24</w:t>
      </w:r>
      <w:r>
        <w:rPr>
          <w:rFonts w:eastAsia="仿宋_GB2312"/>
          <w:color w:val="auto"/>
          <w:kern w:val="0"/>
          <w:sz w:val="32"/>
          <w:szCs w:val="32"/>
        </w:rPr>
        <w:t>〕</w:t>
      </w:r>
      <w:r>
        <w:rPr>
          <w:rFonts w:hint="eastAsia" w:eastAsia="仿宋_GB2312"/>
          <w:color w:val="auto"/>
          <w:kern w:val="0"/>
          <w:sz w:val="32"/>
          <w:szCs w:val="32"/>
          <w:lang w:val="en-US" w:eastAsia="zh-CN"/>
        </w:rPr>
        <w:t>17</w:t>
      </w:r>
      <w:r>
        <w:rPr>
          <w:rFonts w:eastAsia="仿宋_GB2312"/>
          <w:color w:val="auto"/>
          <w:kern w:val="0"/>
          <w:sz w:val="32"/>
          <w:szCs w:val="32"/>
        </w:rPr>
        <w:t>号），告知你单位违法事实、处罚依据和拟作出的处罚决定，并明确告知你单位有权进行陈述、申辩。</w:t>
      </w:r>
      <w:r>
        <w:rPr>
          <w:rFonts w:hint="eastAsia" w:eastAsia="仿宋_GB2312"/>
          <w:color w:val="auto"/>
          <w:kern w:val="0"/>
          <w:sz w:val="32"/>
          <w:szCs w:val="32"/>
        </w:rPr>
        <w:t>我局于20</w:t>
      </w:r>
      <w:r>
        <w:rPr>
          <w:rFonts w:hint="eastAsia" w:eastAsia="仿宋_GB2312"/>
          <w:color w:val="auto"/>
          <w:kern w:val="0"/>
          <w:sz w:val="32"/>
          <w:szCs w:val="32"/>
          <w:lang w:val="en-US" w:eastAsia="zh-CN"/>
        </w:rPr>
        <w:t>24</w:t>
      </w:r>
      <w:r>
        <w:rPr>
          <w:rFonts w:hint="eastAsia" w:eastAsia="仿宋_GB2312"/>
          <w:color w:val="auto"/>
          <w:kern w:val="0"/>
          <w:sz w:val="32"/>
          <w:szCs w:val="32"/>
        </w:rPr>
        <w:t>年</w:t>
      </w:r>
      <w:r>
        <w:rPr>
          <w:rFonts w:hint="eastAsia" w:eastAsia="仿宋_GB2312"/>
          <w:color w:val="auto"/>
          <w:kern w:val="0"/>
          <w:sz w:val="32"/>
          <w:szCs w:val="32"/>
          <w:lang w:val="en-US" w:eastAsia="zh-CN"/>
        </w:rPr>
        <w:t>2</w:t>
      </w:r>
      <w:r>
        <w:rPr>
          <w:rFonts w:hint="eastAsia" w:eastAsia="仿宋_GB2312"/>
          <w:color w:val="auto"/>
          <w:kern w:val="0"/>
          <w:sz w:val="32"/>
          <w:szCs w:val="32"/>
        </w:rPr>
        <w:t>月</w:t>
      </w:r>
      <w:r>
        <w:rPr>
          <w:rFonts w:hint="eastAsia" w:eastAsia="仿宋_GB2312"/>
          <w:color w:val="auto"/>
          <w:kern w:val="0"/>
          <w:sz w:val="32"/>
          <w:szCs w:val="32"/>
          <w:lang w:val="en-US" w:eastAsia="zh-CN"/>
        </w:rPr>
        <w:t>22</w:t>
      </w:r>
      <w:r>
        <w:rPr>
          <w:rFonts w:hint="eastAsia" w:eastAsia="仿宋_GB2312"/>
          <w:color w:val="auto"/>
          <w:kern w:val="0"/>
          <w:sz w:val="32"/>
          <w:szCs w:val="32"/>
        </w:rPr>
        <w:t>日向你单位</w:t>
      </w:r>
      <w:r>
        <w:rPr>
          <w:rFonts w:hint="eastAsia" w:eastAsia="仿宋_GB2312"/>
          <w:color w:val="auto"/>
          <w:kern w:val="0"/>
          <w:sz w:val="32"/>
          <w:szCs w:val="32"/>
          <w:lang w:eastAsia="zh-CN"/>
        </w:rPr>
        <w:t>直接</w:t>
      </w:r>
      <w:r>
        <w:rPr>
          <w:rFonts w:hint="eastAsia" w:eastAsia="仿宋_GB2312"/>
          <w:color w:val="auto"/>
          <w:kern w:val="0"/>
          <w:sz w:val="32"/>
          <w:szCs w:val="32"/>
        </w:rPr>
        <w:t>送达上述文件，你单位于当日签收。你单位逾期未向我局提出陈述申辩意见。</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rPr>
      </w:pPr>
      <w:r>
        <w:rPr>
          <w:rFonts w:hint="eastAsia" w:eastAsia="仿宋_GB2312"/>
          <w:color w:val="auto"/>
          <w:kern w:val="0"/>
          <w:sz w:val="32"/>
          <w:szCs w:val="32"/>
        </w:rPr>
        <w:t>以上事实，有《天津市生态环境局行政处罚事先告知书》（津市环事告字〔20</w:t>
      </w:r>
      <w:r>
        <w:rPr>
          <w:rFonts w:hint="eastAsia" w:eastAsia="仿宋_GB2312"/>
          <w:color w:val="auto"/>
          <w:kern w:val="0"/>
          <w:sz w:val="32"/>
          <w:szCs w:val="32"/>
          <w:lang w:val="en-US" w:eastAsia="zh-CN"/>
        </w:rPr>
        <w:t>24</w:t>
      </w:r>
      <w:r>
        <w:rPr>
          <w:rFonts w:hint="eastAsia" w:eastAsia="仿宋_GB2312"/>
          <w:color w:val="auto"/>
          <w:kern w:val="0"/>
          <w:sz w:val="32"/>
          <w:szCs w:val="32"/>
        </w:rPr>
        <w:t>〕</w:t>
      </w:r>
      <w:r>
        <w:rPr>
          <w:rFonts w:hint="eastAsia" w:eastAsia="仿宋_GB2312"/>
          <w:color w:val="auto"/>
          <w:kern w:val="0"/>
          <w:sz w:val="32"/>
          <w:szCs w:val="32"/>
          <w:lang w:val="en-US" w:eastAsia="zh-CN"/>
        </w:rPr>
        <w:t>17</w:t>
      </w:r>
      <w:r>
        <w:rPr>
          <w:rFonts w:hint="eastAsia" w:eastAsia="仿宋_GB2312"/>
          <w:color w:val="auto"/>
          <w:kern w:val="0"/>
          <w:sz w:val="32"/>
          <w:szCs w:val="32"/>
        </w:rPr>
        <w:t>号）及《天津市生态环境局送达回证》等证据为凭。</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default" w:eastAsia="仿宋_GB2312"/>
          <w:color w:val="auto"/>
          <w:kern w:val="0"/>
          <w:sz w:val="32"/>
          <w:szCs w:val="32"/>
          <w:lang w:val="en-US" w:eastAsia="zh-CN"/>
        </w:rPr>
      </w:pPr>
      <w:r>
        <w:rPr>
          <w:rFonts w:hint="eastAsia" w:eastAsia="仿宋_GB2312"/>
          <w:color w:val="auto"/>
          <w:kern w:val="0"/>
          <w:sz w:val="32"/>
          <w:szCs w:val="32"/>
          <w:lang w:val="en-US" w:eastAsia="zh-CN"/>
        </w:rPr>
        <w:t>经集体审议研究，本案违法事实清楚、执法程序合法、法律适用准确、处罚幅度裁量合理。</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rPr>
      </w:pPr>
      <w:r>
        <w:rPr>
          <w:rFonts w:eastAsia="黑体"/>
          <w:color w:val="auto"/>
          <w:kern w:val="0"/>
          <w:sz w:val="32"/>
          <w:szCs w:val="32"/>
        </w:rPr>
        <w:t>二、</w:t>
      </w:r>
      <w:r>
        <w:rPr>
          <w:rFonts w:hint="eastAsia" w:eastAsia="黑体"/>
          <w:color w:val="auto"/>
          <w:kern w:val="0"/>
          <w:sz w:val="32"/>
          <w:szCs w:val="32"/>
        </w:rPr>
        <w:t>责令改正和行政处罚的依据、种类</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依据《中华人民共和国大气污染防治法》第一百零八条第一项的规定，我局：</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1.责令你单位立即改正违法行为；</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2.对你单位处罚款三万元。</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rPr>
      </w:pPr>
      <w:r>
        <w:rPr>
          <w:rFonts w:eastAsia="黑体"/>
          <w:color w:val="auto"/>
          <w:kern w:val="0"/>
          <w:sz w:val="32"/>
          <w:szCs w:val="32"/>
        </w:rPr>
        <w:t>三、</w:t>
      </w:r>
      <w:r>
        <w:rPr>
          <w:rFonts w:hint="eastAsia" w:eastAsia="黑体"/>
          <w:color w:val="auto"/>
          <w:kern w:val="0"/>
          <w:sz w:val="32"/>
          <w:szCs w:val="32"/>
        </w:rPr>
        <w:t>责令改正和</w:t>
      </w:r>
      <w:r>
        <w:rPr>
          <w:rFonts w:eastAsia="黑体"/>
          <w:color w:val="auto"/>
          <w:kern w:val="0"/>
          <w:sz w:val="32"/>
          <w:szCs w:val="32"/>
        </w:rPr>
        <w:t>处罚决定的履行方式和期限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ascii="楷体" w:hAnsi="楷体" w:eastAsia="楷体"/>
          <w:color w:val="auto"/>
          <w:kern w:val="0"/>
          <w:sz w:val="32"/>
          <w:szCs w:val="32"/>
        </w:rPr>
      </w:pPr>
      <w:r>
        <w:rPr>
          <w:rFonts w:ascii="楷体" w:hAnsi="楷体" w:eastAsia="楷体"/>
          <w:color w:val="auto"/>
          <w:kern w:val="0"/>
          <w:sz w:val="32"/>
          <w:szCs w:val="32"/>
        </w:rPr>
        <w:t>（一）关于责令改正的履行方式和期限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仿宋_GB2312"/>
          <w:color w:val="auto"/>
          <w:kern w:val="0"/>
          <w:sz w:val="32"/>
          <w:szCs w:val="32"/>
        </w:rPr>
      </w:pPr>
      <w:r>
        <w:rPr>
          <w:rFonts w:eastAsia="仿宋_GB2312"/>
          <w:color w:val="auto"/>
          <w:kern w:val="0"/>
          <w:sz w:val="32"/>
          <w:szCs w:val="32"/>
        </w:rPr>
        <w:t>你单位应于接到本</w:t>
      </w:r>
      <w:r>
        <w:rPr>
          <w:rFonts w:hint="eastAsia" w:eastAsia="仿宋_GB2312"/>
          <w:color w:val="auto"/>
          <w:kern w:val="0"/>
          <w:sz w:val="32"/>
          <w:szCs w:val="32"/>
          <w:lang w:val="en-US" w:eastAsia="zh-CN"/>
        </w:rPr>
        <w:t>处罚</w:t>
      </w:r>
      <w:r>
        <w:rPr>
          <w:rFonts w:eastAsia="仿宋_GB2312"/>
          <w:color w:val="auto"/>
          <w:kern w:val="0"/>
          <w:sz w:val="32"/>
          <w:szCs w:val="32"/>
        </w:rPr>
        <w:t>决定书之日起</w:t>
      </w:r>
      <w:r>
        <w:rPr>
          <w:rFonts w:hint="eastAsia" w:eastAsia="仿宋_GB2312"/>
          <w:color w:val="auto"/>
          <w:kern w:val="0"/>
          <w:sz w:val="32"/>
          <w:szCs w:val="32"/>
          <w:lang w:val="en-US" w:eastAsia="zh-CN"/>
        </w:rPr>
        <w:t>立即</w:t>
      </w:r>
      <w:r>
        <w:rPr>
          <w:rFonts w:eastAsia="仿宋_GB2312"/>
          <w:color w:val="auto"/>
          <w:kern w:val="0"/>
          <w:sz w:val="32"/>
          <w:szCs w:val="32"/>
        </w:rPr>
        <w:t>改正违法行为</w:t>
      </w:r>
      <w:r>
        <w:rPr>
          <w:rFonts w:hint="eastAsia" w:eastAsia="仿宋_GB2312"/>
          <w:color w:val="auto"/>
          <w:kern w:val="0"/>
          <w:sz w:val="32"/>
          <w:szCs w:val="32"/>
          <w:lang w:eastAsia="zh-CN"/>
        </w:rPr>
        <w:t>，并</w:t>
      </w:r>
      <w:r>
        <w:rPr>
          <w:rFonts w:hint="eastAsia" w:eastAsia="仿宋_GB2312"/>
          <w:color w:val="auto"/>
          <w:kern w:val="0"/>
          <w:sz w:val="32"/>
          <w:szCs w:val="32"/>
          <w:lang w:val="en-US" w:eastAsia="zh-CN"/>
        </w:rPr>
        <w:t>按照规定使用污染防治设施</w:t>
      </w:r>
      <w:r>
        <w:rPr>
          <w:rFonts w:eastAsia="仿宋_GB2312"/>
          <w:color w:val="auto"/>
          <w:kern w:val="0"/>
          <w:sz w:val="32"/>
          <w:szCs w:val="32"/>
        </w:rPr>
        <w:t>。</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ascii="楷体" w:hAnsi="楷体" w:eastAsia="楷体"/>
          <w:color w:val="auto"/>
          <w:kern w:val="0"/>
          <w:sz w:val="32"/>
          <w:szCs w:val="32"/>
        </w:rPr>
      </w:pPr>
      <w:r>
        <w:rPr>
          <w:rFonts w:ascii="楷体" w:hAnsi="楷体" w:eastAsia="楷体"/>
          <w:color w:val="auto"/>
          <w:kern w:val="0"/>
          <w:sz w:val="32"/>
          <w:szCs w:val="32"/>
        </w:rPr>
        <w:t>（二）关于</w:t>
      </w:r>
      <w:r>
        <w:rPr>
          <w:rFonts w:hint="eastAsia" w:ascii="楷体" w:hAnsi="楷体" w:eastAsia="楷体"/>
          <w:color w:val="auto"/>
          <w:kern w:val="0"/>
          <w:sz w:val="32"/>
          <w:szCs w:val="32"/>
          <w:lang w:eastAsia="zh-CN"/>
        </w:rPr>
        <w:t>处罚决定</w:t>
      </w:r>
      <w:r>
        <w:rPr>
          <w:rFonts w:ascii="楷体" w:hAnsi="楷体" w:eastAsia="楷体"/>
          <w:color w:val="auto"/>
          <w:kern w:val="0"/>
          <w:sz w:val="32"/>
          <w:szCs w:val="32"/>
        </w:rPr>
        <w:t>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仿宋_GB2312"/>
          <w:color w:val="auto"/>
          <w:kern w:val="0"/>
          <w:sz w:val="32"/>
          <w:szCs w:val="32"/>
        </w:rPr>
      </w:pPr>
      <w:r>
        <w:rPr>
          <w:rFonts w:hint="eastAsia" w:eastAsia="仿宋_GB2312"/>
          <w:color w:val="auto"/>
          <w:kern w:val="0"/>
          <w:sz w:val="32"/>
          <w:szCs w:val="32"/>
        </w:rPr>
        <w:t>依据《中华人民共和国行政处罚法》和《罚款决定与罚款收缴分离实施办法》的</w:t>
      </w:r>
      <w:r>
        <w:rPr>
          <w:rFonts w:hint="eastAsia" w:eastAsia="仿宋_GB2312"/>
          <w:color w:val="auto"/>
          <w:kern w:val="0"/>
          <w:sz w:val="32"/>
          <w:szCs w:val="32"/>
          <w:lang w:val="en-US" w:eastAsia="zh-CN"/>
        </w:rPr>
        <w:t>相关</w:t>
      </w:r>
      <w:r>
        <w:rPr>
          <w:rFonts w:hint="eastAsia" w:eastAsia="仿宋_GB2312"/>
          <w:color w:val="auto"/>
          <w:kern w:val="0"/>
          <w:sz w:val="32"/>
          <w:szCs w:val="32"/>
        </w:rPr>
        <w:t>规定，你单位接到本处罚决定书之日起十五日内</w:t>
      </w:r>
      <w:r>
        <w:rPr>
          <w:rFonts w:hint="eastAsia" w:eastAsia="仿宋_GB2312"/>
          <w:color w:val="auto"/>
          <w:kern w:val="0"/>
          <w:sz w:val="32"/>
          <w:szCs w:val="32"/>
          <w:lang w:val="en-US" w:eastAsia="zh-CN"/>
        </w:rPr>
        <w:t>应</w:t>
      </w:r>
      <w:r>
        <w:rPr>
          <w:rFonts w:hint="eastAsia" w:eastAsia="仿宋_GB2312"/>
          <w:color w:val="auto"/>
          <w:kern w:val="0"/>
          <w:sz w:val="32"/>
          <w:szCs w:val="32"/>
        </w:rPr>
        <w:t>领取《非税收入统一缴款书（缴款通知书）》并缴至指定银行。你单位逾期不缴纳罚款的，我局</w:t>
      </w:r>
      <w:r>
        <w:rPr>
          <w:rFonts w:hint="eastAsia" w:eastAsia="仿宋_GB2312"/>
          <w:color w:val="auto"/>
          <w:kern w:val="0"/>
          <w:sz w:val="32"/>
          <w:szCs w:val="32"/>
          <w:lang w:val="en-US" w:eastAsia="zh-CN"/>
        </w:rPr>
        <w:t>可以</w:t>
      </w:r>
      <w:r>
        <w:rPr>
          <w:rFonts w:hint="eastAsia" w:eastAsia="仿宋_GB2312"/>
          <w:color w:val="auto"/>
          <w:kern w:val="0"/>
          <w:sz w:val="32"/>
          <w:szCs w:val="32"/>
        </w:rPr>
        <w:t>依法每日按罚款数额的3%加处罚款</w:t>
      </w:r>
      <w:r>
        <w:rPr>
          <w:rFonts w:eastAsia="仿宋_GB2312"/>
          <w:color w:val="auto"/>
          <w:kern w:val="0"/>
          <w:sz w:val="32"/>
          <w:szCs w:val="32"/>
        </w:rPr>
        <w:t>。</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rPr>
      </w:pPr>
      <w:r>
        <w:rPr>
          <w:rFonts w:eastAsia="黑体"/>
          <w:color w:val="auto"/>
          <w:kern w:val="0"/>
          <w:sz w:val="32"/>
          <w:szCs w:val="32"/>
        </w:rPr>
        <w:t>四、申请行政复议或者提起行政诉讼的途径和期限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right="0" w:firstLine="640" w:firstLineChars="200"/>
        <w:jc w:val="both"/>
        <w:textAlignment w:val="auto"/>
        <w:rPr>
          <w:rFonts w:eastAsia="仿宋_GB2312"/>
          <w:color w:val="auto"/>
          <w:kern w:val="0"/>
          <w:sz w:val="32"/>
          <w:szCs w:val="32"/>
        </w:rPr>
      </w:pPr>
      <w:r>
        <w:rPr>
          <w:rFonts w:eastAsia="仿宋_GB2312"/>
          <w:color w:val="auto"/>
          <w:kern w:val="0"/>
          <w:sz w:val="32"/>
          <w:szCs w:val="32"/>
        </w:rPr>
        <w:t>如</w:t>
      </w:r>
      <w:r>
        <w:rPr>
          <w:rFonts w:hint="eastAsia" w:eastAsia="仿宋_GB2312"/>
          <w:color w:val="auto"/>
          <w:kern w:val="0"/>
          <w:sz w:val="32"/>
          <w:szCs w:val="32"/>
          <w:lang w:val="en-US" w:eastAsia="zh-CN"/>
        </w:rPr>
        <w:t>对本行政处罚决定不服，你单位可在收到本决定书之日起60日内向天津市人民政府申请行政复议（天津市司法局，咨询电话：23082169；互联网申请邮箱：tjsxzfy@tj.gov.cn），也可在6个月内直接向天津铁路运输法院提起行政诉讼。申请行政复议或者提起行政诉讼，不停止本行政处罚决定的执行。逾期不申请行政复议，不提起行政诉讼，又不履行本行政处罚决定的，我局将依法申请人民法院强制执行</w:t>
      </w:r>
      <w:r>
        <w:rPr>
          <w:rFonts w:eastAsia="仿宋_GB2312"/>
          <w:color w:val="auto"/>
          <w:kern w:val="0"/>
          <w:sz w:val="32"/>
          <w:szCs w:val="32"/>
        </w:rPr>
        <w:t>。</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黑体"/>
          <w:color w:val="auto"/>
          <w:kern w:val="0"/>
          <w:sz w:val="32"/>
          <w:szCs w:val="32"/>
          <w:lang w:val="en-US" w:eastAsia="zh-CN"/>
        </w:rPr>
      </w:pPr>
      <w:r>
        <w:rPr>
          <w:rFonts w:hint="eastAsia" w:eastAsia="黑体"/>
          <w:color w:val="auto"/>
          <w:kern w:val="0"/>
          <w:sz w:val="32"/>
          <w:szCs w:val="32"/>
          <w:lang w:val="en-US" w:eastAsia="zh-CN"/>
        </w:rPr>
        <w:t>五、信用中国网站信用修复</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right="0" w:firstLine="640" w:firstLineChars="200"/>
        <w:jc w:val="both"/>
        <w:textAlignment w:val="auto"/>
        <w:rPr>
          <w:rFonts w:eastAsia="仿宋_GB2312"/>
          <w:color w:val="auto"/>
          <w:kern w:val="0"/>
          <w:sz w:val="32"/>
          <w:szCs w:val="32"/>
        </w:rPr>
      </w:pPr>
      <w:r>
        <w:rPr>
          <w:rFonts w:hint="eastAsia" w:ascii="Times New Roman" w:hAnsi="Times New Roman" w:eastAsia="仿宋_GB2312" w:cs="Times New Roman"/>
          <w:color w:val="auto"/>
          <w:kern w:val="0"/>
          <w:sz w:val="32"/>
          <w:szCs w:val="32"/>
          <w:lang w:val="en-US" w:eastAsia="zh-CN"/>
        </w:rPr>
        <w:t>你单位自觉履行本行政处罚决定内容满3个月，且经我局复查认定你单位完成上述违法行为整改工作后，你单位可注册、登录“信用中国（天津）”网站（https://credit.fzgg.tj.gov.cn/）企业信息查询页面自助办理或前往天津市公共信用中心办理信用修复（咨询电话：23129752）</w:t>
      </w:r>
      <w:r>
        <w:rPr>
          <w:rFonts w:hint="eastAsia" w:eastAsia="仿宋_GB2312" w:cs="Times New Roman"/>
          <w:color w:val="auto"/>
          <w:kern w:val="0"/>
          <w:sz w:val="32"/>
          <w:szCs w:val="32"/>
          <w:lang w:val="en-US" w:eastAsia="zh-CN"/>
        </w:rPr>
        <w:t>。</w:t>
      </w:r>
    </w:p>
    <w:p>
      <w:pPr>
        <w:keepNext w:val="0"/>
        <w:keepLines w:val="0"/>
        <w:pageBreakBefore w:val="0"/>
        <w:widowControl w:val="0"/>
        <w:tabs>
          <w:tab w:val="left" w:pos="5980"/>
          <w:tab w:val="left" w:pos="8460"/>
          <w:tab w:val="left" w:pos="9265"/>
        </w:tabs>
        <w:kinsoku/>
        <w:wordWrap/>
        <w:overflowPunct/>
        <w:topLinePunct w:val="0"/>
        <w:autoSpaceDE w:val="0"/>
        <w:autoSpaceDN w:val="0"/>
        <w:bidi w:val="0"/>
        <w:adjustRightInd w:val="0"/>
        <w:snapToGrid w:val="0"/>
        <w:spacing w:line="600" w:lineRule="exact"/>
        <w:ind w:right="0"/>
        <w:jc w:val="both"/>
        <w:textAlignment w:val="auto"/>
        <w:rPr>
          <w:rFonts w:eastAsia="仿宋_GB2312"/>
          <w:color w:val="auto"/>
          <w:kern w:val="0"/>
          <w:sz w:val="32"/>
          <w:szCs w:val="32"/>
        </w:rPr>
      </w:pPr>
    </w:p>
    <w:p>
      <w:pPr>
        <w:keepNext w:val="0"/>
        <w:keepLines w:val="0"/>
        <w:pageBreakBefore w:val="0"/>
        <w:widowControl w:val="0"/>
        <w:kinsoku/>
        <w:wordWrap/>
        <w:overflowPunct/>
        <w:topLinePunct w:val="0"/>
        <w:autoSpaceDE w:val="0"/>
        <w:autoSpaceDN w:val="0"/>
        <w:bidi w:val="0"/>
        <w:adjustRightInd w:val="0"/>
        <w:snapToGrid w:val="0"/>
        <w:spacing w:line="600" w:lineRule="exact"/>
        <w:ind w:right="0"/>
        <w:jc w:val="both"/>
        <w:textAlignment w:val="auto"/>
        <w:rPr>
          <w:rFonts w:hint="eastAsia" w:eastAsia="仿宋_GB2312"/>
          <w:color w:val="auto"/>
          <w:kern w:val="0"/>
          <w:sz w:val="32"/>
          <w:szCs w:val="32"/>
          <w:lang w:eastAsia="zh-CN"/>
        </w:rPr>
      </w:pPr>
      <w:bookmarkStart w:id="5" w:name="_GoBack"/>
      <w:bookmarkEnd w:id="5"/>
    </w:p>
    <w:p>
      <w:pPr>
        <w:keepNext w:val="0"/>
        <w:keepLines w:val="0"/>
        <w:pageBreakBefore w:val="0"/>
        <w:widowControl w:val="0"/>
        <w:kinsoku/>
        <w:wordWrap/>
        <w:overflowPunct/>
        <w:topLinePunct w:val="0"/>
        <w:autoSpaceDE w:val="0"/>
        <w:autoSpaceDN w:val="0"/>
        <w:bidi w:val="0"/>
        <w:adjustRightInd w:val="0"/>
        <w:snapToGrid w:val="0"/>
        <w:spacing w:line="600" w:lineRule="exact"/>
        <w:ind w:right="0"/>
        <w:jc w:val="both"/>
        <w:textAlignment w:val="auto"/>
        <w:rPr>
          <w:rFonts w:hint="eastAsia" w:eastAsia="仿宋_GB2312"/>
          <w:color w:val="auto"/>
          <w:kern w:val="0"/>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line="600" w:lineRule="exact"/>
        <w:ind w:right="960" w:rightChars="400" w:firstLine="5120" w:firstLineChars="1600"/>
        <w:jc w:val="both"/>
        <w:textAlignment w:val="auto"/>
        <w:rPr>
          <w:rFonts w:eastAsia="仿宋_GB2312"/>
          <w:color w:val="auto"/>
          <w:kern w:val="0"/>
          <w:sz w:val="28"/>
          <w:szCs w:val="28"/>
        </w:rPr>
      </w:pPr>
      <w:bookmarkStart w:id="4" w:name="PO_7_QianFaShiJian"/>
      <w:r>
        <w:rPr>
          <w:rFonts w:eastAsia="仿宋_GB2312"/>
          <w:color w:val="auto"/>
          <w:kern w:val="0"/>
          <w:sz w:val="32"/>
          <w:szCs w:val="32"/>
        </w:rPr>
        <w:t>20</w:t>
      </w:r>
      <w:r>
        <w:rPr>
          <w:rFonts w:hint="eastAsia" w:eastAsia="仿宋_GB2312"/>
          <w:color w:val="auto"/>
          <w:kern w:val="0"/>
          <w:sz w:val="32"/>
          <w:szCs w:val="32"/>
          <w:lang w:val="en-US" w:eastAsia="zh-CN"/>
        </w:rPr>
        <w:t>24</w:t>
      </w:r>
      <w:r>
        <w:rPr>
          <w:rFonts w:eastAsia="仿宋_GB2312"/>
          <w:color w:val="auto"/>
          <w:kern w:val="0"/>
          <w:sz w:val="32"/>
          <w:szCs w:val="32"/>
        </w:rPr>
        <w:t>年</w:t>
      </w:r>
      <w:r>
        <w:rPr>
          <w:rFonts w:hint="eastAsia" w:eastAsia="仿宋_GB2312"/>
          <w:color w:val="auto"/>
          <w:kern w:val="0"/>
          <w:sz w:val="32"/>
          <w:szCs w:val="32"/>
          <w:lang w:val="en-US" w:eastAsia="zh-CN"/>
        </w:rPr>
        <w:t>3</w:t>
      </w:r>
      <w:r>
        <w:rPr>
          <w:rFonts w:eastAsia="仿宋_GB2312"/>
          <w:color w:val="auto"/>
          <w:kern w:val="0"/>
          <w:sz w:val="32"/>
          <w:szCs w:val="32"/>
        </w:rPr>
        <w:t>月</w:t>
      </w:r>
      <w:bookmarkEnd w:id="4"/>
      <w:r>
        <w:rPr>
          <w:rFonts w:hint="eastAsia" w:eastAsia="仿宋_GB2312"/>
          <w:color w:val="auto"/>
          <w:kern w:val="0"/>
          <w:sz w:val="32"/>
          <w:szCs w:val="32"/>
          <w:lang w:val="en-US" w:eastAsia="zh-CN"/>
        </w:rPr>
        <w:t>12</w:t>
      </w:r>
      <w:r>
        <w:rPr>
          <w:rFonts w:eastAsia="仿宋_GB2312"/>
          <w:color w:val="auto"/>
          <w:kern w:val="0"/>
          <w:sz w:val="32"/>
          <w:szCs w:val="32"/>
        </w:rPr>
        <w:t>日</w:t>
      </w:r>
    </w:p>
    <w:p>
      <w:pPr>
        <w:keepNext w:val="0"/>
        <w:keepLines w:val="0"/>
        <w:pageBreakBefore w:val="0"/>
        <w:widowControl w:val="0"/>
        <w:tabs>
          <w:tab w:val="left" w:pos="9120"/>
        </w:tabs>
        <w:kinsoku/>
        <w:wordWrap/>
        <w:overflowPunct/>
        <w:topLinePunct w:val="0"/>
        <w:autoSpaceDE w:val="0"/>
        <w:autoSpaceDN w:val="0"/>
        <w:bidi w:val="0"/>
        <w:adjustRightInd w:val="0"/>
        <w:spacing w:line="600" w:lineRule="exact"/>
        <w:ind w:right="120"/>
        <w:textAlignment w:val="auto"/>
        <w:rPr>
          <w:rFonts w:eastAsia="仿宋_GB2312"/>
          <w:color w:val="auto"/>
          <w:kern w:val="0"/>
          <w:sz w:val="28"/>
          <w:szCs w:val="28"/>
        </w:rPr>
      </w:pPr>
    </w:p>
    <w:p>
      <w:pPr>
        <w:keepNext w:val="0"/>
        <w:keepLines w:val="0"/>
        <w:pageBreakBefore w:val="0"/>
        <w:widowControl w:val="0"/>
        <w:tabs>
          <w:tab w:val="left" w:pos="9120"/>
        </w:tabs>
        <w:kinsoku/>
        <w:wordWrap/>
        <w:overflowPunct/>
        <w:topLinePunct w:val="0"/>
        <w:autoSpaceDE w:val="0"/>
        <w:autoSpaceDN w:val="0"/>
        <w:bidi w:val="0"/>
        <w:adjustRightInd w:val="0"/>
        <w:spacing w:line="600" w:lineRule="exact"/>
        <w:ind w:right="120"/>
        <w:textAlignment w:val="auto"/>
        <w:rPr>
          <w:rFonts w:eastAsia="仿宋_GB2312"/>
          <w:color w:val="auto"/>
          <w:kern w:val="0"/>
          <w:sz w:val="28"/>
          <w:szCs w:val="28"/>
        </w:rPr>
      </w:pPr>
    </w:p>
    <w:p>
      <w:pPr>
        <w:keepNext w:val="0"/>
        <w:keepLines w:val="0"/>
        <w:pageBreakBefore w:val="0"/>
        <w:widowControl w:val="0"/>
        <w:tabs>
          <w:tab w:val="left" w:pos="9120"/>
        </w:tabs>
        <w:kinsoku/>
        <w:wordWrap/>
        <w:overflowPunct/>
        <w:topLinePunct w:val="0"/>
        <w:autoSpaceDE w:val="0"/>
        <w:autoSpaceDN w:val="0"/>
        <w:bidi w:val="0"/>
        <w:adjustRightInd w:val="0"/>
        <w:spacing w:line="600" w:lineRule="exact"/>
        <w:ind w:right="120"/>
        <w:textAlignment w:val="auto"/>
        <w:rPr>
          <w:rFonts w:eastAsia="仿宋_GB2312"/>
          <w:color w:val="auto"/>
          <w:kern w:val="0"/>
          <w:sz w:val="28"/>
          <w:szCs w:val="28"/>
        </w:rPr>
      </w:pPr>
    </w:p>
    <w:p>
      <w:pPr>
        <w:keepNext w:val="0"/>
        <w:keepLines w:val="0"/>
        <w:pageBreakBefore w:val="0"/>
        <w:widowControl w:val="0"/>
        <w:tabs>
          <w:tab w:val="left" w:pos="9120"/>
        </w:tabs>
        <w:kinsoku/>
        <w:wordWrap/>
        <w:overflowPunct/>
        <w:topLinePunct w:val="0"/>
        <w:autoSpaceDE w:val="0"/>
        <w:autoSpaceDN w:val="0"/>
        <w:bidi w:val="0"/>
        <w:adjustRightInd w:val="0"/>
        <w:spacing w:line="600" w:lineRule="exact"/>
        <w:ind w:right="120"/>
        <w:textAlignment w:val="auto"/>
        <w:rPr>
          <w:rFonts w:eastAsia="仿宋_GB2312"/>
          <w:color w:val="auto"/>
          <w:kern w:val="0"/>
          <w:sz w:val="28"/>
          <w:szCs w:val="28"/>
        </w:rPr>
      </w:pPr>
    </w:p>
    <w:p>
      <w:pPr>
        <w:keepNext w:val="0"/>
        <w:keepLines w:val="0"/>
        <w:pageBreakBefore w:val="0"/>
        <w:widowControl w:val="0"/>
        <w:tabs>
          <w:tab w:val="left" w:pos="9120"/>
        </w:tabs>
        <w:kinsoku/>
        <w:wordWrap/>
        <w:overflowPunct/>
        <w:topLinePunct w:val="0"/>
        <w:autoSpaceDE w:val="0"/>
        <w:autoSpaceDN w:val="0"/>
        <w:bidi w:val="0"/>
        <w:adjustRightInd w:val="0"/>
        <w:spacing w:line="600" w:lineRule="exact"/>
        <w:ind w:right="120"/>
        <w:textAlignment w:val="auto"/>
        <w:rPr>
          <w:rFonts w:eastAsia="仿宋_GB2312"/>
          <w:color w:val="auto"/>
          <w:kern w:val="0"/>
          <w:sz w:val="28"/>
          <w:szCs w:val="28"/>
        </w:rPr>
      </w:pPr>
    </w:p>
    <w:p>
      <w:pPr>
        <w:keepNext w:val="0"/>
        <w:keepLines w:val="0"/>
        <w:pageBreakBefore w:val="0"/>
        <w:widowControl w:val="0"/>
        <w:tabs>
          <w:tab w:val="left" w:pos="9120"/>
        </w:tabs>
        <w:kinsoku/>
        <w:wordWrap/>
        <w:overflowPunct/>
        <w:topLinePunct w:val="0"/>
        <w:autoSpaceDE w:val="0"/>
        <w:autoSpaceDN w:val="0"/>
        <w:bidi w:val="0"/>
        <w:adjustRightInd w:val="0"/>
        <w:spacing w:line="600" w:lineRule="exact"/>
        <w:ind w:right="120"/>
        <w:textAlignment w:val="auto"/>
        <w:rPr>
          <w:rFonts w:eastAsia="仿宋_GB2312"/>
          <w:color w:val="auto"/>
          <w:kern w:val="0"/>
          <w:sz w:val="28"/>
          <w:szCs w:val="28"/>
        </w:rPr>
      </w:pPr>
    </w:p>
    <w:p>
      <w:pPr>
        <w:keepNext w:val="0"/>
        <w:keepLines w:val="0"/>
        <w:pageBreakBefore w:val="0"/>
        <w:widowControl w:val="0"/>
        <w:tabs>
          <w:tab w:val="left" w:pos="9120"/>
        </w:tabs>
        <w:kinsoku/>
        <w:wordWrap/>
        <w:overflowPunct/>
        <w:topLinePunct w:val="0"/>
        <w:autoSpaceDE w:val="0"/>
        <w:autoSpaceDN w:val="0"/>
        <w:bidi w:val="0"/>
        <w:adjustRightInd w:val="0"/>
        <w:spacing w:line="600" w:lineRule="exact"/>
        <w:ind w:right="120"/>
        <w:textAlignment w:val="auto"/>
        <w:rPr>
          <w:rFonts w:eastAsia="仿宋_GB2312"/>
          <w:color w:val="auto"/>
          <w:kern w:val="0"/>
          <w:sz w:val="28"/>
          <w:szCs w:val="28"/>
        </w:rPr>
      </w:pPr>
    </w:p>
    <w:p>
      <w:pPr>
        <w:keepNext w:val="0"/>
        <w:keepLines w:val="0"/>
        <w:pageBreakBefore w:val="0"/>
        <w:widowControl w:val="0"/>
        <w:tabs>
          <w:tab w:val="left" w:pos="9120"/>
        </w:tabs>
        <w:kinsoku/>
        <w:wordWrap/>
        <w:overflowPunct/>
        <w:topLinePunct w:val="0"/>
        <w:autoSpaceDE w:val="0"/>
        <w:autoSpaceDN w:val="0"/>
        <w:bidi w:val="0"/>
        <w:adjustRightInd w:val="0"/>
        <w:spacing w:line="600" w:lineRule="exact"/>
        <w:ind w:right="120"/>
        <w:textAlignment w:val="auto"/>
        <w:rPr>
          <w:rFonts w:eastAsia="仿宋_GB2312"/>
          <w:color w:val="auto"/>
          <w:kern w:val="0"/>
          <w:sz w:val="28"/>
          <w:szCs w:val="28"/>
        </w:rPr>
      </w:pPr>
      <w:r>
        <w:rPr>
          <w:rFonts w:eastAsia="仿宋_GB2312"/>
          <w:color w:val="auto"/>
          <w:kern w:val="0"/>
          <w:sz w:val="28"/>
          <w:szCs w:val="28"/>
        </w:rPr>
        <w:t>注：此文书一式</w:t>
      </w:r>
      <w:r>
        <w:rPr>
          <w:rFonts w:hint="eastAsia" w:eastAsia="仿宋_GB2312"/>
          <w:color w:val="auto"/>
          <w:kern w:val="0"/>
          <w:sz w:val="28"/>
          <w:szCs w:val="28"/>
          <w:lang w:val="en-US" w:eastAsia="zh-CN"/>
        </w:rPr>
        <w:t>三</w:t>
      </w:r>
      <w:r>
        <w:rPr>
          <w:rFonts w:eastAsia="仿宋_GB2312"/>
          <w:color w:val="auto"/>
          <w:kern w:val="0"/>
          <w:sz w:val="28"/>
          <w:szCs w:val="28"/>
        </w:rPr>
        <w:t>份，</w:t>
      </w:r>
      <w:r>
        <w:rPr>
          <w:rFonts w:hint="eastAsia" w:eastAsia="仿宋_GB2312"/>
          <w:color w:val="auto"/>
          <w:kern w:val="0"/>
          <w:sz w:val="28"/>
          <w:szCs w:val="28"/>
          <w:lang w:val="en-US" w:eastAsia="zh-CN"/>
        </w:rPr>
        <w:t>二</w:t>
      </w:r>
      <w:r>
        <w:rPr>
          <w:rFonts w:eastAsia="仿宋_GB2312"/>
          <w:color w:val="auto"/>
          <w:kern w:val="0"/>
          <w:sz w:val="28"/>
          <w:szCs w:val="28"/>
        </w:rPr>
        <w:t>份归档，一份送达。</w:t>
      </w:r>
    </w:p>
    <w:sectPr>
      <w:headerReference r:id="rId3" w:type="default"/>
      <w:footerReference r:id="rId5" w:type="default"/>
      <w:headerReference r:id="rId4" w:type="even"/>
      <w:pgSz w:w="11907" w:h="16840" w:orient="landscape"/>
      <w:pgMar w:top="2098" w:right="1474" w:bottom="1984" w:left="1587"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altName w:val="PMingLiU-ExtB"/>
    <w:panose1 w:val="02020404030301010803"/>
    <w:charset w:val="00"/>
    <w:family w:val="roman"/>
    <w:pitch w:val="default"/>
    <w:sig w:usb0="00000000" w:usb1="00000000" w:usb2="00000000" w:usb3="00000000" w:csb0="0000009F" w:csb1="DFD7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3"/>
      <w:isLgl/>
      <w:lvlText w:val="%1.%2"/>
      <w:lvlJc w:val="left"/>
      <w:pPr>
        <w:tabs>
          <w:tab w:val="left" w:pos="576"/>
        </w:tabs>
        <w:ind w:left="576" w:hanging="576"/>
      </w:pPr>
      <w:rPr>
        <w:rFonts w:hint="eastAsia"/>
      </w:rPr>
    </w:lvl>
    <w:lvl w:ilvl="2" w:tentative="0">
      <w:start w:val="1"/>
      <w:numFmt w:val="decimal"/>
      <w:pStyle w:val="4"/>
      <w:isLgl/>
      <w:lvlText w:val="%1.%2.%3"/>
      <w:lvlJc w:val="left"/>
      <w:pPr>
        <w:tabs>
          <w:tab w:val="left" w:pos="720"/>
        </w:tabs>
        <w:ind w:left="720" w:hanging="720"/>
      </w:pPr>
      <w:rPr>
        <w:rFonts w:hint="eastAsia"/>
      </w:rPr>
    </w:lvl>
    <w:lvl w:ilvl="3" w:tentative="0">
      <w:start w:val="1"/>
      <w:numFmt w:val="decimal"/>
      <w:pStyle w:val="5"/>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2"/>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5ZGY3YWJhNWE4NTE5YzZjNTNlNGUxM2ZjZjEwOGYifQ=="/>
  </w:docVars>
  <w:rsids>
    <w:rsidRoot w:val="78B6471C"/>
    <w:rsid w:val="00010AA6"/>
    <w:rsid w:val="000204AC"/>
    <w:rsid w:val="00043334"/>
    <w:rsid w:val="000657F1"/>
    <w:rsid w:val="0009025B"/>
    <w:rsid w:val="00095A17"/>
    <w:rsid w:val="000D6F4A"/>
    <w:rsid w:val="000E35AD"/>
    <w:rsid w:val="0010341C"/>
    <w:rsid w:val="00121857"/>
    <w:rsid w:val="0013098D"/>
    <w:rsid w:val="0013559F"/>
    <w:rsid w:val="00140468"/>
    <w:rsid w:val="00152183"/>
    <w:rsid w:val="00157F83"/>
    <w:rsid w:val="00173A1F"/>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92BE0"/>
    <w:rsid w:val="002D34A1"/>
    <w:rsid w:val="002E443D"/>
    <w:rsid w:val="003057A3"/>
    <w:rsid w:val="0033687D"/>
    <w:rsid w:val="00343837"/>
    <w:rsid w:val="00353614"/>
    <w:rsid w:val="003658E2"/>
    <w:rsid w:val="003A15F8"/>
    <w:rsid w:val="003A1FCB"/>
    <w:rsid w:val="003B1577"/>
    <w:rsid w:val="003C05F1"/>
    <w:rsid w:val="003C45C3"/>
    <w:rsid w:val="003C4CF8"/>
    <w:rsid w:val="003D74C6"/>
    <w:rsid w:val="003E1E96"/>
    <w:rsid w:val="003E474C"/>
    <w:rsid w:val="003F2EA1"/>
    <w:rsid w:val="00417624"/>
    <w:rsid w:val="00432C4D"/>
    <w:rsid w:val="00450E93"/>
    <w:rsid w:val="004903BE"/>
    <w:rsid w:val="0049236B"/>
    <w:rsid w:val="004C43A3"/>
    <w:rsid w:val="004D7091"/>
    <w:rsid w:val="00501456"/>
    <w:rsid w:val="00506453"/>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5C80"/>
    <w:rsid w:val="00776979"/>
    <w:rsid w:val="007817B9"/>
    <w:rsid w:val="00792255"/>
    <w:rsid w:val="007E0306"/>
    <w:rsid w:val="007E343F"/>
    <w:rsid w:val="007F2FE7"/>
    <w:rsid w:val="00845722"/>
    <w:rsid w:val="00850EF1"/>
    <w:rsid w:val="008778D2"/>
    <w:rsid w:val="008874CB"/>
    <w:rsid w:val="00895089"/>
    <w:rsid w:val="008A66F0"/>
    <w:rsid w:val="008B4839"/>
    <w:rsid w:val="008B6497"/>
    <w:rsid w:val="008E0B8C"/>
    <w:rsid w:val="008F1113"/>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02D8"/>
    <w:rsid w:val="00A85133"/>
    <w:rsid w:val="00A8786C"/>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D056EC"/>
    <w:rsid w:val="00D063E3"/>
    <w:rsid w:val="00D1024B"/>
    <w:rsid w:val="00D13861"/>
    <w:rsid w:val="00D15117"/>
    <w:rsid w:val="00D21D1B"/>
    <w:rsid w:val="00D26915"/>
    <w:rsid w:val="00D2707E"/>
    <w:rsid w:val="00D31EDD"/>
    <w:rsid w:val="00D71E35"/>
    <w:rsid w:val="00D936DC"/>
    <w:rsid w:val="00D95AE8"/>
    <w:rsid w:val="00DA3404"/>
    <w:rsid w:val="00DA5D19"/>
    <w:rsid w:val="00DE1676"/>
    <w:rsid w:val="00DF22E2"/>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674B8"/>
    <w:rsid w:val="00F73398"/>
    <w:rsid w:val="00F97257"/>
    <w:rsid w:val="00FA0003"/>
    <w:rsid w:val="00FA2B76"/>
    <w:rsid w:val="00FB25AA"/>
    <w:rsid w:val="00FB4879"/>
    <w:rsid w:val="00FC14FB"/>
    <w:rsid w:val="00FD09D1"/>
    <w:rsid w:val="00FE5FB8"/>
    <w:rsid w:val="0188032B"/>
    <w:rsid w:val="01C63E03"/>
    <w:rsid w:val="04564EA5"/>
    <w:rsid w:val="047D7869"/>
    <w:rsid w:val="04CF2504"/>
    <w:rsid w:val="075524D7"/>
    <w:rsid w:val="07B93B0C"/>
    <w:rsid w:val="08107DEF"/>
    <w:rsid w:val="08A676E1"/>
    <w:rsid w:val="09114283"/>
    <w:rsid w:val="0BEA4C5E"/>
    <w:rsid w:val="0C1C7969"/>
    <w:rsid w:val="0DDF008D"/>
    <w:rsid w:val="0F830E9A"/>
    <w:rsid w:val="14A22454"/>
    <w:rsid w:val="173B33C8"/>
    <w:rsid w:val="1A3F25F1"/>
    <w:rsid w:val="1B552996"/>
    <w:rsid w:val="1BB8168D"/>
    <w:rsid w:val="1BC26D67"/>
    <w:rsid w:val="1BE92186"/>
    <w:rsid w:val="1CC54CEB"/>
    <w:rsid w:val="1F6A3919"/>
    <w:rsid w:val="22AA1244"/>
    <w:rsid w:val="2378242F"/>
    <w:rsid w:val="25447B70"/>
    <w:rsid w:val="25735D76"/>
    <w:rsid w:val="26162D5B"/>
    <w:rsid w:val="27FC4468"/>
    <w:rsid w:val="28287681"/>
    <w:rsid w:val="2ABE5B1A"/>
    <w:rsid w:val="2CBF39D4"/>
    <w:rsid w:val="2E2D1CD7"/>
    <w:rsid w:val="2E7E4B4C"/>
    <w:rsid w:val="2EA35576"/>
    <w:rsid w:val="2F096FCE"/>
    <w:rsid w:val="3037780B"/>
    <w:rsid w:val="30BC0424"/>
    <w:rsid w:val="312C04D9"/>
    <w:rsid w:val="34FC2C60"/>
    <w:rsid w:val="35FD4028"/>
    <w:rsid w:val="36DC37DD"/>
    <w:rsid w:val="39BB0884"/>
    <w:rsid w:val="3BA13239"/>
    <w:rsid w:val="3BA70B39"/>
    <w:rsid w:val="3C7636AF"/>
    <w:rsid w:val="3E516742"/>
    <w:rsid w:val="427625CC"/>
    <w:rsid w:val="42BA1DF9"/>
    <w:rsid w:val="43F84AAE"/>
    <w:rsid w:val="442F10A5"/>
    <w:rsid w:val="46843426"/>
    <w:rsid w:val="473A0DD5"/>
    <w:rsid w:val="47C66189"/>
    <w:rsid w:val="49A445AC"/>
    <w:rsid w:val="4A263D9A"/>
    <w:rsid w:val="4AF71395"/>
    <w:rsid w:val="4CA7559F"/>
    <w:rsid w:val="4D6435C2"/>
    <w:rsid w:val="4DF56AA7"/>
    <w:rsid w:val="4E393586"/>
    <w:rsid w:val="50AF0D71"/>
    <w:rsid w:val="51935037"/>
    <w:rsid w:val="521C5B03"/>
    <w:rsid w:val="53767495"/>
    <w:rsid w:val="54580B43"/>
    <w:rsid w:val="5794182D"/>
    <w:rsid w:val="586D4E7F"/>
    <w:rsid w:val="58F32920"/>
    <w:rsid w:val="5A4853C7"/>
    <w:rsid w:val="5B5C731D"/>
    <w:rsid w:val="5C9F4A39"/>
    <w:rsid w:val="5DD022F3"/>
    <w:rsid w:val="5E5D6572"/>
    <w:rsid w:val="5EC8235B"/>
    <w:rsid w:val="5ECD3BB6"/>
    <w:rsid w:val="61787F41"/>
    <w:rsid w:val="63EC73E1"/>
    <w:rsid w:val="65465834"/>
    <w:rsid w:val="6AEC59B8"/>
    <w:rsid w:val="6B1F7E37"/>
    <w:rsid w:val="6C1C590D"/>
    <w:rsid w:val="7029000B"/>
    <w:rsid w:val="70AC3779"/>
    <w:rsid w:val="71F76391"/>
    <w:rsid w:val="743631A3"/>
    <w:rsid w:val="74B37A23"/>
    <w:rsid w:val="755131A7"/>
    <w:rsid w:val="75893AED"/>
    <w:rsid w:val="759748AE"/>
    <w:rsid w:val="76716923"/>
    <w:rsid w:val="76A05966"/>
    <w:rsid w:val="76A20092"/>
    <w:rsid w:val="7776441B"/>
    <w:rsid w:val="78AB5FCC"/>
    <w:rsid w:val="78B6471C"/>
    <w:rsid w:val="78D17E30"/>
    <w:rsid w:val="7A3206AF"/>
    <w:rsid w:val="7AF246CE"/>
    <w:rsid w:val="7BA70D1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autoRedefine/>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3">
    <w:name w:val="heading 2"/>
    <w:basedOn w:val="1"/>
    <w:next w:val="1"/>
    <w:autoRedefine/>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4">
    <w:name w:val="heading 3"/>
    <w:basedOn w:val="1"/>
    <w:next w:val="1"/>
    <w:autoRedefine/>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5">
    <w:name w:val="heading 4"/>
    <w:basedOn w:val="1"/>
    <w:next w:val="1"/>
    <w:autoRedefine/>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2">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6">
    <w:name w:val="Body Text"/>
    <w:basedOn w:val="1"/>
    <w:autoRedefine/>
    <w:unhideWhenUsed/>
    <w:qFormat/>
    <w:uiPriority w:val="99"/>
    <w:pPr>
      <w:widowControl/>
      <w:spacing w:before="100" w:beforeAutospacing="1" w:after="100" w:afterAutospacing="1"/>
      <w:jc w:val="left"/>
    </w:pPr>
    <w:rPr>
      <w:rFonts w:ascii="宋体" w:hAnsi="宋体" w:cs="宋体"/>
    </w:rPr>
  </w:style>
  <w:style w:type="paragraph" w:styleId="7">
    <w:name w:val="Balloon Text"/>
    <w:basedOn w:val="1"/>
    <w:link w:val="14"/>
    <w:autoRedefine/>
    <w:qFormat/>
    <w:uiPriority w:val="0"/>
    <w:rPr>
      <w:sz w:val="18"/>
      <w:szCs w:val="18"/>
    </w:rPr>
  </w:style>
  <w:style w:type="paragraph" w:styleId="8">
    <w:name w:val="footer"/>
    <w:basedOn w:val="1"/>
    <w:link w:val="15"/>
    <w:autoRedefine/>
    <w:qFormat/>
    <w:uiPriority w:val="99"/>
    <w:pPr>
      <w:tabs>
        <w:tab w:val="center" w:pos="4153"/>
        <w:tab w:val="right" w:pos="8306"/>
      </w:tabs>
      <w:snapToGrid w:val="0"/>
      <w:jc w:val="left"/>
    </w:pPr>
    <w:rPr>
      <w:sz w:val="18"/>
      <w:szCs w:val="18"/>
    </w:rPr>
  </w:style>
  <w:style w:type="paragraph" w:styleId="9">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autoRedefine/>
    <w:qFormat/>
    <w:uiPriority w:val="0"/>
    <w:rPr>
      <w:color w:val="0000FF"/>
      <w:u w:val="single"/>
    </w:rPr>
  </w:style>
  <w:style w:type="character" w:customStyle="1" w:styleId="14">
    <w:name w:val="批注框文本 字符"/>
    <w:link w:val="7"/>
    <w:autoRedefine/>
    <w:qFormat/>
    <w:uiPriority w:val="0"/>
    <w:rPr>
      <w:kern w:val="2"/>
      <w:sz w:val="18"/>
      <w:szCs w:val="18"/>
    </w:rPr>
  </w:style>
  <w:style w:type="character" w:customStyle="1" w:styleId="15">
    <w:name w:val="页脚 字符"/>
    <w:link w:val="8"/>
    <w:autoRedefine/>
    <w:qFormat/>
    <w:uiPriority w:val="99"/>
    <w:rPr>
      <w:kern w:val="2"/>
      <w:sz w:val="18"/>
      <w:szCs w:val="18"/>
    </w:rPr>
  </w:style>
  <w:style w:type="paragraph" w:customStyle="1" w:styleId="16">
    <w:name w:val="封皮"/>
    <w:basedOn w:val="1"/>
    <w:autoRedefine/>
    <w:qFormat/>
    <w:uiPriority w:val="0"/>
    <w:pPr>
      <w:jc w:val="center"/>
    </w:pPr>
    <w:rPr>
      <w:rFonts w:eastAsia="黑体"/>
      <w:b/>
      <w:sz w:val="72"/>
    </w:rPr>
  </w:style>
  <w:style w:type="paragraph" w:customStyle="1" w:styleId="17">
    <w:name w:val="正文1"/>
    <w:next w:val="18"/>
    <w:autoRedefine/>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4"/>
      <w:szCs w:val="24"/>
      <w:lang w:val="en-US" w:eastAsia="zh-CN" w:bidi="ar-SA"/>
    </w:rPr>
  </w:style>
  <w:style w:type="paragraph" w:customStyle="1" w:styleId="18">
    <w:name w:val="正文文本1"/>
    <w:basedOn w:val="17"/>
    <w:autoRedefine/>
    <w:unhideWhenUsed/>
    <w:qFormat/>
    <w:uiPriority w:val="0"/>
    <w:pPr>
      <w:spacing w:beforeLines="0" w:beforeAutospacing="0" w:after="120" w:afterAutospacing="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G:\&#24037;&#20316;&#25991;&#20214;&#22841;\&#24120;&#29992;&#25991;&#20070;&#27169;&#26495;\&#25191;&#27861;&#24635;&#38431;&#34892;&#25919;&#22788;&#32602;&#25991;&#20070;&#27169;&#26495;2022.4&#26356;&#26032;\&#34892;&#25919;&#22788;&#32602;&#20915;&#23450;&#20070;&#65288;&#26410;&#21548;&#35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行政处罚决定书（未听证）.dot</Template>
  <Pages>4</Pages>
  <Words>1730</Words>
  <Characters>1838</Characters>
  <Lines>8</Lines>
  <Paragraphs>2</Paragraphs>
  <TotalTime>5</TotalTime>
  <ScaleCrop>false</ScaleCrop>
  <LinksUpToDate>false</LinksUpToDate>
  <CharactersWithSpaces>1862</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2022-05-24T07:12:00Z</dcterms:created>
  <dc:creator>唐大果果</dc:creator>
  <cp:lastModifiedBy>孙国力</cp:lastModifiedBy>
  <cp:lastPrinted>2024-03-12T08:59:00Z</cp:lastPrinted>
  <dcterms:modified xsi:type="dcterms:W3CDTF">2024-03-12T23:43:14Z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730E82EB171946218D567F6F085AA7F6</vt:lpwstr>
  </property>
</Properties>
</file>