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189</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天津协利城建筑工程有限公司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911201120640057671</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hint="default" w:eastAsia="仿宋_GB2312"/>
          <w:color w:val="auto"/>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eastAsia="zh-CN"/>
        </w:rPr>
        <w:t>天津市津南区八里台泰达（津南）微电子工业区科达一路</w:t>
      </w:r>
      <w:r>
        <w:rPr>
          <w:rFonts w:hint="eastAsia" w:eastAsia="仿宋_GB2312"/>
          <w:color w:val="auto"/>
          <w:kern w:val="0"/>
          <w:sz w:val="32"/>
          <w:szCs w:val="32"/>
          <w:lang w:val="en-US" w:eastAsia="zh-CN"/>
        </w:rPr>
        <w:t>9-1147</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hint="eastAsia"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马春阳</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我局于2023年7月28日对津西浩（挂）2021-046号地块项目施工工地进行现场检查，经调查，发现你单位实施了以下环境违法行为：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现场检查时，上述施工工地有一台凯斯牌挖掘机（机械型号：CX210B，机械编码：DAC210K5N8SAH2021)正在作业，为你单位所有并入场使用。</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上述施工工地位于天津市河西区解放南路环渤海国际经贸大厦旁，为《天津市人民政府关于划定禁止使用高排放非道路移动机械区域的通告》（津政规〔2022〕2号）规定的禁止使用高排放非道路移动机械一类禁用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市生态环境监测中心监测人员对上述挖掘机进行采样监测，根据市生态环境监测中心2023年7月28日出具的《监测报告》（津环监（监）7-2307016-25号），光吸收系数的监测结果为1.77m</w:t>
      </w:r>
      <w:r>
        <w:rPr>
          <w:rFonts w:hint="eastAsia" w:eastAsia="仿宋_GB2312"/>
          <w:color w:val="auto"/>
          <w:kern w:val="0"/>
          <w:sz w:val="32"/>
          <w:szCs w:val="32"/>
          <w:vertAlign w:val="superscript"/>
          <w:lang w:val="en-US" w:eastAsia="zh-CN"/>
        </w:rPr>
        <w:t>-1</w:t>
      </w:r>
      <w:r>
        <w:rPr>
          <w:rFonts w:hint="eastAsia" w:eastAsia="仿宋_GB2312"/>
          <w:color w:val="auto"/>
          <w:kern w:val="0"/>
          <w:sz w:val="32"/>
          <w:szCs w:val="32"/>
          <w:lang w:val="en-US" w:eastAsia="zh-CN"/>
        </w:rPr>
        <w:t>，监测结果不符合《非道路柴油移动机械排气烟度限值及测量方法》4.1Ⅲ类限值“额定净功率&lt;37 光吸收系数不超过0.80m</w:t>
      </w:r>
      <w:r>
        <w:rPr>
          <w:rFonts w:hint="eastAsia" w:eastAsia="仿宋_GB2312"/>
          <w:color w:val="auto"/>
          <w:kern w:val="0"/>
          <w:sz w:val="32"/>
          <w:szCs w:val="32"/>
          <w:vertAlign w:val="superscript"/>
          <w:lang w:val="en-US" w:eastAsia="zh-CN"/>
        </w:rPr>
        <w:t>-1</w:t>
      </w:r>
      <w:r>
        <w:rPr>
          <w:rFonts w:hint="eastAsia" w:eastAsia="仿宋_GB2312"/>
          <w:color w:val="auto"/>
          <w:kern w:val="0"/>
          <w:sz w:val="32"/>
          <w:szCs w:val="32"/>
          <w:lang w:val="en-US" w:eastAsia="zh-CN"/>
        </w:rPr>
        <w:t xml:space="preserve"> ，额定净功率Pmax≧37 光吸收系数不超过0.50m</w:t>
      </w:r>
      <w:r>
        <w:rPr>
          <w:rFonts w:hint="eastAsia" w:eastAsia="仿宋_GB2312"/>
          <w:color w:val="auto"/>
          <w:kern w:val="0"/>
          <w:sz w:val="32"/>
          <w:szCs w:val="32"/>
          <w:vertAlign w:val="superscript"/>
          <w:lang w:val="en-US" w:eastAsia="zh-CN"/>
        </w:rPr>
        <w:t>-1</w:t>
      </w:r>
      <w:r>
        <w:rPr>
          <w:rFonts w:hint="eastAsia" w:eastAsia="仿宋_GB2312"/>
          <w:color w:val="auto"/>
          <w:kern w:val="0"/>
          <w:sz w:val="32"/>
          <w:szCs w:val="32"/>
          <w:lang w:val="en-US" w:eastAsia="zh-CN"/>
        </w:rPr>
        <w:t>”规定，上述挖掘机属于天津市人民政府划定的在一类禁用区内禁止使用的高排放非道路移动机械。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lang w:val="en-US" w:eastAsia="zh-CN"/>
        </w:rPr>
        <w:t>《施工机械租赁协议》《天津市人民政府关于划定禁止使用高排放非道路移动机械区域的通告》（津政规〔2022〕2号）</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《监测报告》（津环监（监）7-2307016-25号）、《非道路柴油移动机械排气烟度限值及测量方法》（GB 36886—2018）、</w:t>
      </w:r>
      <w:r>
        <w:rPr>
          <w:rFonts w:eastAsia="仿宋_GB2312"/>
          <w:color w:val="auto"/>
          <w:kern w:val="0"/>
          <w:sz w:val="32"/>
          <w:szCs w:val="32"/>
        </w:rPr>
        <w:t>现场拍摄的视频以及营业执照复印件</w:t>
      </w:r>
      <w:bookmarkEnd w:id="3"/>
      <w:r>
        <w:rPr>
          <w:rFonts w:eastAsia="仿宋_GB2312"/>
          <w:color w:val="auto"/>
          <w:kern w:val="0"/>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你单位上述行为违反了</w:t>
      </w:r>
      <w:r>
        <w:rPr>
          <w:rFonts w:hint="eastAsia" w:eastAsia="仿宋_GB2312"/>
          <w:color w:val="auto"/>
          <w:kern w:val="0"/>
          <w:sz w:val="32"/>
          <w:szCs w:val="32"/>
          <w:lang w:val="en-US" w:eastAsia="zh-CN"/>
        </w:rPr>
        <w:t>《天津市机动车和非道路移动机械排放污染防治条例》第十二条第一款</w:t>
      </w:r>
      <w:r>
        <w:rPr>
          <w:rFonts w:eastAsia="仿宋_GB2312"/>
          <w:color w:val="auto"/>
          <w:kern w:val="0"/>
          <w:sz w:val="32"/>
          <w:szCs w:val="32"/>
        </w:rPr>
        <w:t xml:space="preserve">的规定，依法应当予以处罚。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4</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134</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11</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送达上述文件，你单位逾期未向我局提出陈述申辩意见。</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134</w:t>
      </w:r>
      <w:r>
        <w:rPr>
          <w:rFonts w:eastAsia="仿宋_GB2312"/>
          <w:color w:val="auto"/>
          <w:kern w:val="0"/>
          <w:sz w:val="32"/>
          <w:szCs w:val="32"/>
        </w:rPr>
        <w:t>号）</w:t>
      </w:r>
      <w:r>
        <w:rPr>
          <w:rFonts w:hint="eastAsia" w:eastAsia="仿宋_GB2312"/>
          <w:color w:val="auto"/>
          <w:kern w:val="0"/>
          <w:sz w:val="32"/>
          <w:szCs w:val="32"/>
        </w:rPr>
        <w:t>及《</w:t>
      </w:r>
      <w:r>
        <w:rPr>
          <w:rFonts w:eastAsia="仿宋_GB2312"/>
          <w:color w:val="auto"/>
          <w:kern w:val="0"/>
          <w:sz w:val="32"/>
          <w:szCs w:val="32"/>
        </w:rPr>
        <w:t>天津市生态环境局</w:t>
      </w:r>
      <w:r>
        <w:rPr>
          <w:rFonts w:hint="eastAsia" w:eastAsia="仿宋_GB2312"/>
          <w:color w:val="auto"/>
          <w:kern w:val="0"/>
          <w:sz w:val="32"/>
          <w:szCs w:val="32"/>
        </w:rPr>
        <w:t>送达回证》</w:t>
      </w:r>
      <w:r>
        <w:rPr>
          <w:rFonts w:eastAsia="仿宋_GB2312"/>
          <w:color w:val="auto"/>
          <w:kern w:val="0"/>
          <w:sz w:val="32"/>
          <w:szCs w:val="32"/>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lang w:val="en-US" w:eastAsia="zh-CN"/>
        </w:rPr>
        <w:t>经集体审议，本案违法事实清楚、执法程序合法、法律适用准确、自由裁量结论合理。</w:t>
      </w:r>
      <w:r>
        <w:rPr>
          <w:rFonts w:eastAsia="仿宋_GB2312"/>
          <w:color w:val="auto"/>
          <w:kern w:val="0"/>
          <w:sz w:val="32"/>
          <w:szCs w:val="32"/>
        </w:rPr>
        <w:t xml:space="preserve">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《天津市机动车和非道路移动机械排放污染防治条例》第五十条</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rPr>
      </w:pPr>
      <w:r>
        <w:rPr>
          <w:rFonts w:eastAsia="仿宋_GB2312"/>
          <w:color w:val="auto"/>
          <w:kern w:val="0"/>
          <w:sz w:val="32"/>
          <w:szCs w:val="32"/>
        </w:rPr>
        <w:t>1.</w:t>
      </w:r>
      <w:r>
        <w:rPr>
          <w:rFonts w:hint="eastAsia" w:eastAsia="仿宋_GB2312"/>
          <w:color w:val="auto"/>
          <w:kern w:val="0"/>
          <w:sz w:val="32"/>
          <w:szCs w:val="32"/>
        </w:rPr>
        <w:t>责令你单位</w:t>
      </w:r>
      <w:r>
        <w:rPr>
          <w:rFonts w:hint="eastAsia" w:eastAsia="仿宋_GB2312"/>
          <w:color w:val="auto"/>
          <w:kern w:val="0"/>
          <w:sz w:val="32"/>
          <w:szCs w:val="32"/>
          <w:lang w:val="en-US" w:eastAsia="zh-CN"/>
        </w:rPr>
        <w:t>立即停止使用上述非道路移动机械</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eastAsia="zh-CN"/>
        </w:rPr>
        <w:t>五</w:t>
      </w:r>
      <w:r>
        <w:rPr>
          <w:rFonts w:eastAsia="仿宋_GB2312"/>
          <w:color w:val="auto"/>
          <w:kern w:val="0"/>
          <w:sz w:val="32"/>
          <w:szCs w:val="32"/>
        </w:rPr>
        <w:t>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rPr>
        <w:t>在禁止使用高排放非道路移动机械区域禁止使用高排放非道路移动机械。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keepNext w:val="0"/>
        <w:keepLines w:val="0"/>
        <w:pageBreakBefore w:val="0"/>
        <w:widowControl w:val="0"/>
        <w:tabs>
          <w:tab w:val="left" w:pos="5035"/>
          <w:tab w:val="left" w:pos="8460"/>
          <w:tab w:val="left" w:pos="9265"/>
        </w:tabs>
        <w:kinsoku/>
        <w:wordWrap/>
        <w:overflowPunct/>
        <w:topLinePunct w:val="0"/>
        <w:autoSpaceDE w:val="0"/>
        <w:autoSpaceDN w:val="0"/>
        <w:bidi w:val="0"/>
        <w:adjustRightInd w:val="0"/>
        <w:snapToGrid w:val="0"/>
        <w:spacing w:line="560" w:lineRule="exact"/>
        <w:ind w:right="-20"/>
        <w:jc w:val="left"/>
        <w:textAlignment w:val="auto"/>
        <w:rPr>
          <w:rFonts w:eastAsia="仿宋_GB2312"/>
          <w:color w:val="auto"/>
          <w:kern w:val="0"/>
          <w:sz w:val="32"/>
          <w:szCs w:val="32"/>
        </w:rPr>
      </w:pPr>
    </w:p>
    <w:p>
      <w:pPr>
        <w:keepNext w:val="0"/>
        <w:keepLines w:val="0"/>
        <w:pageBreakBefore w:val="0"/>
        <w:widowControl w:val="0"/>
        <w:tabs>
          <w:tab w:val="left" w:pos="7070"/>
          <w:tab w:val="left" w:pos="7820"/>
        </w:tabs>
        <w:kinsoku/>
        <w:wordWrap/>
        <w:overflowPunct/>
        <w:topLinePunct w:val="0"/>
        <w:autoSpaceDE w:val="0"/>
        <w:autoSpaceDN w:val="0"/>
        <w:bidi w:val="0"/>
        <w:adjustRightInd w:val="0"/>
        <w:snapToGrid w:val="0"/>
        <w:spacing w:line="560" w:lineRule="exact"/>
        <w:ind w:right="122" w:firstLine="6240" w:firstLineChars="1950"/>
        <w:jc w:val="left"/>
        <w:textAlignment w:val="auto"/>
        <w:rPr>
          <w:rFonts w:eastAsia="仿宋_GB2312"/>
          <w:color w:val="auto"/>
          <w:kern w:val="0"/>
          <w:sz w:val="32"/>
          <w:szCs w:val="32"/>
        </w:rPr>
      </w:pPr>
      <w:bookmarkStart w:id="5" w:name="_GoBack"/>
      <w:bookmarkEnd w:id="5"/>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6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10</w:t>
      </w:r>
      <w:r>
        <w:rPr>
          <w:rFonts w:eastAsia="仿宋_GB2312"/>
          <w:color w:val="auto"/>
          <w:kern w:val="0"/>
          <w:sz w:val="32"/>
          <w:szCs w:val="32"/>
        </w:rPr>
        <w:t>月</w:t>
      </w:r>
      <w:bookmarkEnd w:id="4"/>
      <w:r>
        <w:rPr>
          <w:rFonts w:hint="eastAsia" w:eastAsia="仿宋_GB2312"/>
          <w:color w:val="auto"/>
          <w:kern w:val="0"/>
          <w:sz w:val="32"/>
          <w:szCs w:val="32"/>
          <w:lang w:val="en-US" w:eastAsia="zh-CN"/>
        </w:rPr>
        <w:t>8</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04334211"/>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4334211"/>
    <w:rsid w:val="0D1742E5"/>
    <w:rsid w:val="170924E2"/>
    <w:rsid w:val="1CAF1114"/>
    <w:rsid w:val="1E353F45"/>
    <w:rsid w:val="23A72B7A"/>
    <w:rsid w:val="2B453C7F"/>
    <w:rsid w:val="2D426A6D"/>
    <w:rsid w:val="33DF60A4"/>
    <w:rsid w:val="3B2434F5"/>
    <w:rsid w:val="3F841B92"/>
    <w:rsid w:val="40FF52B5"/>
    <w:rsid w:val="43841772"/>
    <w:rsid w:val="473367BF"/>
    <w:rsid w:val="48475D0A"/>
    <w:rsid w:val="49AF4F85"/>
    <w:rsid w:val="4AD22D47"/>
    <w:rsid w:val="4E44018F"/>
    <w:rsid w:val="51935037"/>
    <w:rsid w:val="53B96C98"/>
    <w:rsid w:val="5B784E50"/>
    <w:rsid w:val="5B7E19C2"/>
    <w:rsid w:val="5BC40E35"/>
    <w:rsid w:val="5DC07A16"/>
    <w:rsid w:val="5F91207B"/>
    <w:rsid w:val="62413B44"/>
    <w:rsid w:val="693C7902"/>
    <w:rsid w:val="6C3118E9"/>
    <w:rsid w:val="6D9C4786"/>
    <w:rsid w:val="70291EB6"/>
    <w:rsid w:val="72DC74D0"/>
    <w:rsid w:val="786618CC"/>
    <w:rsid w:val="7D345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65&#21327;&#21033;&#22478;&#21452;&#39640;&#25490;\&#34892;&#25919;&#22788;&#32602;&#20915;&#23450;&#20070;&#65288;189&#21495;&#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行政处罚决定书（189号）.dot</Template>
  <Pages>4</Pages>
  <Words>1085</Words>
  <Characters>1157</Characters>
  <Lines>8</Lines>
  <Paragraphs>2</Paragraphs>
  <TotalTime>1</TotalTime>
  <ScaleCrop>false</ScaleCrop>
  <LinksUpToDate>false</LinksUpToDate>
  <CharactersWithSpaces>1299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2023-09-22T07:49:00Z</dcterms:created>
  <dc:creator>暗香</dc:creator>
  <cp:lastModifiedBy>暗香</cp:lastModifiedBy>
  <cp:lastPrinted>2023-10-08T08:02:00Z</cp:lastPrinted>
  <dcterms:modified xsi:type="dcterms:W3CDTF">2023-12-04T07:09:20Z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92133E1F65AA4DF39083C5CE79ACFA1D_11</vt:lpwstr>
  </property>
</Properties>
</file>