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197</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600" w:lineRule="exact"/>
        <w:jc w:val="both"/>
        <w:textAlignment w:val="auto"/>
        <w:rPr>
          <w:rFonts w:eastAsia="仿宋_GB2312"/>
          <w:color w:val="auto"/>
          <w:kern w:val="0"/>
          <w:sz w:val="32"/>
          <w:szCs w:val="32"/>
        </w:rPr>
      </w:pPr>
      <w:r>
        <w:rPr>
          <w:rFonts w:hint="eastAsia" w:eastAsia="仿宋_GB2312"/>
          <w:color w:val="auto"/>
          <w:kern w:val="0"/>
          <w:sz w:val="32"/>
          <w:szCs w:val="32"/>
          <w:lang w:val="en-US" w:eastAsia="zh-CN"/>
        </w:rPr>
        <w:t>天津市华业市政工程有限公司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91120222744031491T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eastAsia="仿宋_GB2312"/>
          <w:color w:val="auto"/>
          <w:kern w:val="0"/>
          <w:sz w:val="32"/>
          <w:szCs w:val="32"/>
        </w:rPr>
        <w:t>地址：</w:t>
      </w:r>
      <w:r>
        <w:rPr>
          <w:rFonts w:hint="eastAsia" w:eastAsia="仿宋_GB2312"/>
          <w:color w:val="auto"/>
          <w:kern w:val="0"/>
          <w:sz w:val="32"/>
          <w:szCs w:val="32"/>
          <w:lang w:val="en-US" w:eastAsia="zh-CN"/>
        </w:rPr>
        <w:t>天津市宝坻区尔王庄镇政府街1号105-3c室</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hint="eastAsia" w:eastAsia="仿宋_GB2312"/>
          <w:color w:val="auto"/>
          <w:kern w:val="0"/>
          <w:sz w:val="32"/>
          <w:szCs w:val="32"/>
          <w:lang w:eastAsia="zh-CN"/>
        </w:rPr>
        <w:t>法定代表</w:t>
      </w:r>
      <w:r>
        <w:rPr>
          <w:rFonts w:eastAsia="仿宋_GB2312"/>
          <w:color w:val="auto"/>
          <w:kern w:val="0"/>
          <w:sz w:val="32"/>
          <w:szCs w:val="32"/>
        </w:rPr>
        <w:t>人：</w:t>
      </w:r>
      <w:r>
        <w:rPr>
          <w:rFonts w:hint="eastAsia" w:eastAsia="仿宋_GB2312"/>
          <w:color w:val="auto"/>
          <w:kern w:val="0"/>
          <w:sz w:val="32"/>
          <w:szCs w:val="32"/>
          <w:lang w:val="en-US" w:eastAsia="zh-CN"/>
        </w:rPr>
        <w:t>刘广春</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jc w:val="both"/>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我局于2023年8月11日对天津市主城区再生水管网连通工程第一批项目EPC工程总承包二标段才智道(现状管网-工西路)再生水管道连通工程施工工地进行了现场检查，该工地位于天津市西青区才智道与学府中路交口，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现场检查时，该施工工地有1台日立建机(中国)有限公司生产的挖掘机（机械登记信息标号：X-29009429，机械型号：FX120-5E，机械编号：1E8-52872)正在作业。天津市生态环境保护综合行政执法总队委托天津市生态环境监测中心对上述挖掘机尾气的光吸收系数进行采样监测。《监测报告》〔津环监（监）7-2308019-17号〕显示：上述挖掘机尾气排放光吸收系数为3.73m</w:t>
      </w:r>
      <w:r>
        <w:rPr>
          <w:rFonts w:hint="eastAsia" w:eastAsia="仿宋_GB2312"/>
          <w:color w:val="auto"/>
          <w:sz w:val="32"/>
          <w:szCs w:val="32"/>
          <w:vertAlign w:val="superscript"/>
          <w:lang w:val="en-US" w:eastAsia="zh-CN"/>
        </w:rPr>
        <w:t>-1</w:t>
      </w:r>
      <w:r>
        <w:rPr>
          <w:rFonts w:hint="eastAsia" w:eastAsia="仿宋_GB2312"/>
          <w:color w:val="auto"/>
          <w:sz w:val="32"/>
          <w:szCs w:val="32"/>
          <w:lang w:val="en-US" w:eastAsia="zh-CN"/>
        </w:rPr>
        <w:t>，不符合《非道路柴油移动机械排气烟度限值及测量方法》（GB36886-2018）中4.1.1 GB 20891-2007第二及以前阶段排放标准的非道路柴油移动机械，执行表1中的I类限值”的规定（光吸收系数最大限值为3.0m</w:t>
      </w:r>
      <w:r>
        <w:rPr>
          <w:rFonts w:hint="eastAsia" w:eastAsia="仿宋_GB2312"/>
          <w:color w:val="auto"/>
          <w:sz w:val="32"/>
          <w:szCs w:val="32"/>
          <w:vertAlign w:val="superscript"/>
          <w:lang w:val="en-US" w:eastAsia="zh-CN"/>
        </w:rPr>
        <w:t>-1</w:t>
      </w:r>
      <w:r>
        <w:rPr>
          <w:rFonts w:hint="eastAsia" w:eastAsia="仿宋_GB2312"/>
          <w:color w:val="auto"/>
          <w:sz w:val="32"/>
          <w:szCs w:val="32"/>
          <w:lang w:val="en-US" w:eastAsia="zh-CN"/>
        </w:rPr>
        <w:t>）。经确认，上述挖掘机为你单位所有并入场使用。</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以上事实，有《天津市生态环境局现场检查（勘察）笔录》《天津市生态环境局调查询问笔录》《监测报告》〔津环监（监）7-2308019-17号〕、《非道路柴油移动机械排气烟度限值及测量方法》（GB36886-2018）、天津市非道路移动机械信息管理平台查询截图、你单位提供的《天津市小型建设工程施工合同》、现场拍摄的视频以及营业执照复印件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《中华人民共和国大气污染防治法》第五十一条第一款的规定</w:t>
      </w:r>
      <w:r>
        <w:rPr>
          <w:rFonts w:eastAsia="仿宋_GB2312"/>
          <w:color w:val="auto"/>
          <w:kern w:val="0"/>
          <w:sz w:val="32"/>
          <w:szCs w:val="32"/>
        </w:rPr>
        <w:t>，依法应当予以处罚。</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9</w:t>
      </w:r>
      <w:r>
        <w:rPr>
          <w:rFonts w:eastAsia="仿宋_GB2312"/>
          <w:color w:val="auto"/>
          <w:kern w:val="0"/>
          <w:sz w:val="32"/>
          <w:szCs w:val="32"/>
        </w:rPr>
        <w:t>月</w:t>
      </w:r>
      <w:r>
        <w:rPr>
          <w:rFonts w:hint="eastAsia" w:eastAsia="仿宋_GB2312"/>
          <w:color w:val="auto"/>
          <w:kern w:val="0"/>
          <w:sz w:val="32"/>
          <w:szCs w:val="32"/>
          <w:lang w:val="en-US" w:eastAsia="zh-CN"/>
        </w:rPr>
        <w:t>8</w:t>
      </w:r>
      <w:r>
        <w:rPr>
          <w:rFonts w:eastAsia="仿宋_GB2312"/>
          <w:color w:val="auto"/>
          <w:kern w:val="0"/>
          <w:sz w:val="32"/>
          <w:szCs w:val="32"/>
        </w:rPr>
        <w:t>日以《天津市生态环境局行政处罚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138</w:t>
      </w:r>
      <w:r>
        <w:rPr>
          <w:rFonts w:eastAsia="仿宋_GB2312"/>
          <w:color w:val="auto"/>
          <w:kern w:val="0"/>
          <w:sz w:val="32"/>
          <w:szCs w:val="32"/>
        </w:rPr>
        <w:t>号），告知你单位违法事实、处罚依据和拟作出的处罚决定，并明确告知你单位有权进行陈述、申辩。</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9</w:t>
      </w:r>
      <w:r>
        <w:rPr>
          <w:rFonts w:hint="eastAsia" w:eastAsia="仿宋_GB2312"/>
          <w:color w:val="auto"/>
          <w:kern w:val="0"/>
          <w:sz w:val="32"/>
          <w:szCs w:val="32"/>
        </w:rPr>
        <w:t>月</w:t>
      </w:r>
      <w:r>
        <w:rPr>
          <w:rFonts w:hint="eastAsia" w:eastAsia="仿宋_GB2312"/>
          <w:color w:val="auto"/>
          <w:kern w:val="0"/>
          <w:sz w:val="32"/>
          <w:szCs w:val="32"/>
          <w:lang w:val="en-US" w:eastAsia="zh-CN"/>
        </w:rPr>
        <w:t>12</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送达上述文件，你单位于当日签收。你单位逾期未向我局提出陈述申辩意见。</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rPr>
      </w:pPr>
      <w:r>
        <w:rPr>
          <w:rFonts w:hint="eastAsia" w:eastAsia="仿宋_GB2312"/>
          <w:color w:val="auto"/>
          <w:kern w:val="0"/>
          <w:sz w:val="32"/>
          <w:szCs w:val="32"/>
        </w:rPr>
        <w:t>以上事实，有《天津市生态环境局行政处罚事先告知书》（津市环事告字〔20</w:t>
      </w:r>
      <w:r>
        <w:rPr>
          <w:rFonts w:hint="eastAsia" w:eastAsia="仿宋_GB2312"/>
          <w:color w:val="auto"/>
          <w:kern w:val="0"/>
          <w:sz w:val="32"/>
          <w:szCs w:val="32"/>
          <w:lang w:val="en-US" w:eastAsia="zh-CN"/>
        </w:rPr>
        <w:t>23</w:t>
      </w:r>
      <w:r>
        <w:rPr>
          <w:rFonts w:hint="eastAsia" w:eastAsia="仿宋_GB2312"/>
          <w:color w:val="auto"/>
          <w:kern w:val="0"/>
          <w:sz w:val="32"/>
          <w:szCs w:val="32"/>
        </w:rPr>
        <w:t>〕</w:t>
      </w:r>
      <w:r>
        <w:rPr>
          <w:rFonts w:hint="eastAsia" w:eastAsia="仿宋_GB2312"/>
          <w:color w:val="auto"/>
          <w:kern w:val="0"/>
          <w:sz w:val="32"/>
          <w:szCs w:val="32"/>
          <w:lang w:val="en-US" w:eastAsia="zh-CN"/>
        </w:rPr>
        <w:t>138</w:t>
      </w:r>
      <w:r>
        <w:rPr>
          <w:rFonts w:hint="eastAsia" w:eastAsia="仿宋_GB2312"/>
          <w:color w:val="auto"/>
          <w:kern w:val="0"/>
          <w:sz w:val="32"/>
          <w:szCs w:val="32"/>
        </w:rPr>
        <w:t>号）及《天津市生态环境局送达回证》等证据为凭。</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rPr>
      </w:pPr>
      <w:r>
        <w:rPr>
          <w:rFonts w:hint="eastAsia" w:eastAsia="仿宋_GB2312"/>
          <w:color w:val="auto"/>
          <w:kern w:val="0"/>
          <w:sz w:val="32"/>
          <w:szCs w:val="32"/>
          <w:lang w:val="en-US" w:eastAsia="zh-CN"/>
        </w:rPr>
        <w:t>经集体审议研究，本案违法事实清楚、执法程序合法、法律适用准确、处罚幅度裁量合理。</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依据《中华人民共和国大气污染防治法》第一百一十四条第一款的规定，我局：</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1.责令你单位立即改正违法行为；</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2.对你单位处罚款五千元。</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val="en-US"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使用排放合格的非道路移动机械</w:t>
      </w:r>
      <w:r>
        <w:rPr>
          <w:rFonts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依据《中华人民共和国行政处罚法》和《罚款决定与罚款收缴分离实施办法》的</w:t>
      </w:r>
      <w:r>
        <w:rPr>
          <w:rFonts w:hint="eastAsia" w:eastAsia="仿宋_GB2312"/>
          <w:color w:val="auto"/>
          <w:kern w:val="0"/>
          <w:sz w:val="32"/>
          <w:szCs w:val="32"/>
          <w:lang w:val="en-US" w:eastAsia="zh-CN"/>
        </w:rPr>
        <w:t>相关</w:t>
      </w:r>
      <w:r>
        <w:rPr>
          <w:rFonts w:hint="eastAsia"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hint="eastAsia" w:eastAsia="仿宋_GB2312"/>
          <w:color w:val="auto"/>
          <w:kern w:val="0"/>
          <w:sz w:val="32"/>
          <w:szCs w:val="32"/>
        </w:rPr>
        <w:t>领取《非税收入统一缴款书（缴款通知书）》并缴至指定银行。你单位逾期不缴纳罚款的，我局</w:t>
      </w:r>
      <w:r>
        <w:rPr>
          <w:rFonts w:hint="eastAsia" w:eastAsia="仿宋_GB2312"/>
          <w:color w:val="auto"/>
          <w:kern w:val="0"/>
          <w:sz w:val="32"/>
          <w:szCs w:val="32"/>
          <w:lang w:val="en-US" w:eastAsia="zh-CN"/>
        </w:rPr>
        <w:t>可以</w:t>
      </w:r>
      <w:r>
        <w:rPr>
          <w:rFonts w:hint="eastAsia" w:eastAsia="仿宋_GB2312"/>
          <w:color w:val="auto"/>
          <w:kern w:val="0"/>
          <w:sz w:val="32"/>
          <w:szCs w:val="32"/>
        </w:rPr>
        <w:t>依法每日按罚款数额的3%加处罚款</w:t>
      </w:r>
      <w:r>
        <w:rPr>
          <w:rFonts w:eastAsia="仿宋_GB2312"/>
          <w:color w:val="auto"/>
          <w:kern w:val="0"/>
          <w:sz w:val="32"/>
          <w:szCs w:val="32"/>
        </w:rPr>
        <w:t>。</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四、申请行政复议或者提起行政诉讼的途径和期限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right="0" w:firstLine="640" w:firstLineChars="200"/>
        <w:jc w:val="left"/>
        <w:textAlignment w:val="auto"/>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w:t>
      </w:r>
      <w:r>
        <w:rPr>
          <w:rFonts w:hint="eastAsia" w:eastAsia="仿宋_GB2312"/>
          <w:color w:val="auto"/>
          <w:kern w:val="0"/>
          <w:sz w:val="32"/>
          <w:szCs w:val="32"/>
          <w:lang w:val="en-US" w:eastAsia="zh-CN"/>
        </w:rPr>
        <w:t>60</w:t>
      </w:r>
      <w:r>
        <w:rPr>
          <w:rFonts w:eastAsia="仿宋_GB2312"/>
          <w:color w:val="auto"/>
          <w:kern w:val="0"/>
          <w:sz w:val="32"/>
          <w:szCs w:val="32"/>
        </w:rPr>
        <w:t>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w:t>
      </w:r>
      <w:r>
        <w:rPr>
          <w:rFonts w:hint="eastAsia" w:eastAsia="仿宋_GB2312"/>
          <w:color w:val="auto"/>
          <w:kern w:val="0"/>
          <w:sz w:val="32"/>
          <w:szCs w:val="32"/>
          <w:lang w:val="en-US" w:eastAsia="zh-CN"/>
        </w:rPr>
        <w:t>6</w:t>
      </w:r>
      <w:r>
        <w:rPr>
          <w:rFonts w:eastAsia="仿宋_GB2312"/>
          <w:color w:val="auto"/>
          <w:kern w:val="0"/>
          <w:sz w:val="32"/>
          <w:szCs w:val="32"/>
        </w:rPr>
        <w:t>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行政处罚决定的执行。逾期不申请行政复议，不提起行政诉讼，又不履行本处罚决定的，我局将依法申请人民法院强制执行。</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黑体"/>
          <w:color w:val="auto"/>
          <w:kern w:val="0"/>
          <w:sz w:val="32"/>
          <w:szCs w:val="32"/>
          <w:lang w:val="en-US" w:eastAsia="zh-CN"/>
        </w:rPr>
      </w:pPr>
      <w:r>
        <w:rPr>
          <w:rFonts w:hint="eastAsia" w:eastAsia="黑体"/>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right="0" w:firstLine="640" w:firstLineChars="200"/>
        <w:jc w:val="both"/>
        <w:textAlignment w:val="auto"/>
        <w:rPr>
          <w:rFonts w:eastAsia="仿宋_GB2312"/>
          <w:color w:val="auto"/>
          <w:kern w:val="0"/>
          <w:sz w:val="32"/>
          <w:szCs w:val="32"/>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行政处罚信用修复</w:t>
      </w:r>
      <w:r>
        <w:rPr>
          <w:rFonts w:hint="eastAsia" w:eastAsia="仿宋_GB2312" w:cs="Times New Roman"/>
          <w:color w:val="auto"/>
          <w:kern w:val="0"/>
          <w:sz w:val="32"/>
          <w:szCs w:val="32"/>
          <w:lang w:val="en-US" w:eastAsia="zh-CN"/>
        </w:rPr>
        <w:t>。</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600" w:lineRule="exact"/>
        <w:ind w:right="0"/>
        <w:jc w:val="both"/>
        <w:textAlignment w:val="auto"/>
        <w:rPr>
          <w:rFonts w:eastAsia="仿宋_GB2312"/>
          <w:color w:val="auto"/>
          <w:kern w:val="0"/>
          <w:sz w:val="32"/>
          <w:szCs w:val="32"/>
        </w:rPr>
      </w:pPr>
    </w:p>
    <w:p>
      <w:pPr>
        <w:pStyle w:val="6"/>
        <w:keepNext w:val="0"/>
        <w:keepLines w:val="0"/>
        <w:pageBreakBefore w:val="0"/>
        <w:kinsoku/>
        <w:wordWrap/>
        <w:overflowPunct/>
        <w:topLinePunct w:val="0"/>
        <w:bidi w:val="0"/>
        <w:spacing w:line="600" w:lineRule="exact"/>
        <w:textAlignment w:val="auto"/>
        <w:rPr>
          <w:rFonts w:hint="eastAsia"/>
          <w:color w:val="auto"/>
          <w:lang w:eastAsia="zh-CN"/>
        </w:rPr>
      </w:pPr>
    </w:p>
    <w:p>
      <w:pPr>
        <w:pStyle w:val="6"/>
        <w:keepNext w:val="0"/>
        <w:keepLines w:val="0"/>
        <w:pageBreakBefore w:val="0"/>
        <w:kinsoku/>
        <w:wordWrap/>
        <w:overflowPunct/>
        <w:topLinePunct w:val="0"/>
        <w:bidi w:val="0"/>
        <w:spacing w:line="600" w:lineRule="exact"/>
        <w:textAlignment w:val="auto"/>
        <w:rPr>
          <w:rFonts w:hint="eastAsia"/>
          <w:color w:val="auto"/>
          <w:lang w:eastAsia="zh-CN"/>
        </w:rPr>
      </w:pP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28"/>
          <w:szCs w:val="28"/>
        </w:rPr>
      </w:pPr>
      <w:bookmarkStart w:id="3"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10</w:t>
      </w:r>
      <w:r>
        <w:rPr>
          <w:rFonts w:eastAsia="仿宋_GB2312"/>
          <w:color w:val="auto"/>
          <w:kern w:val="0"/>
          <w:sz w:val="32"/>
          <w:szCs w:val="32"/>
        </w:rPr>
        <w:t>月</w:t>
      </w:r>
      <w:bookmarkEnd w:id="3"/>
      <w:r>
        <w:rPr>
          <w:rFonts w:hint="eastAsia" w:eastAsia="仿宋_GB2312"/>
          <w:color w:val="auto"/>
          <w:kern w:val="0"/>
          <w:sz w:val="32"/>
          <w:szCs w:val="32"/>
          <w:lang w:val="en-US" w:eastAsia="zh-CN"/>
        </w:rPr>
        <w:t>8</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textAlignment w:val="auto"/>
        <w:rPr>
          <w:rFonts w:eastAsia="仿宋_GB2312"/>
          <w:color w:val="auto"/>
          <w:kern w:val="0"/>
          <w:sz w:val="28"/>
          <w:szCs w:val="28"/>
        </w:rPr>
      </w:pPr>
      <w:bookmarkStart w:id="4" w:name="_GoBack"/>
      <w:bookmarkEnd w:id="4"/>
    </w:p>
    <w:p>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98" w:right="1474" w:bottom="1984" w:left="158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s>
  <w:rsids>
    <w:rsidRoot w:val="78B6471C"/>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1D1B"/>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4564EA5"/>
    <w:rsid w:val="047D7869"/>
    <w:rsid w:val="04CF2504"/>
    <w:rsid w:val="075524D7"/>
    <w:rsid w:val="07B93B0C"/>
    <w:rsid w:val="08A676E1"/>
    <w:rsid w:val="09114283"/>
    <w:rsid w:val="0BEA4C5E"/>
    <w:rsid w:val="0C1169D7"/>
    <w:rsid w:val="14A22454"/>
    <w:rsid w:val="1689759B"/>
    <w:rsid w:val="173B33C8"/>
    <w:rsid w:val="1A3F25F1"/>
    <w:rsid w:val="1B552996"/>
    <w:rsid w:val="1BB8168D"/>
    <w:rsid w:val="1BC26D67"/>
    <w:rsid w:val="1CC54CEB"/>
    <w:rsid w:val="1D2445C7"/>
    <w:rsid w:val="1D60232F"/>
    <w:rsid w:val="1F6A3919"/>
    <w:rsid w:val="22AA1244"/>
    <w:rsid w:val="2378242F"/>
    <w:rsid w:val="25735D76"/>
    <w:rsid w:val="26162D5B"/>
    <w:rsid w:val="27FC4468"/>
    <w:rsid w:val="28312759"/>
    <w:rsid w:val="2ABE5B1A"/>
    <w:rsid w:val="2CBF39D4"/>
    <w:rsid w:val="2E2D1CD7"/>
    <w:rsid w:val="2E7E4B4C"/>
    <w:rsid w:val="2EA35576"/>
    <w:rsid w:val="2F096FCE"/>
    <w:rsid w:val="30343F06"/>
    <w:rsid w:val="312C04D9"/>
    <w:rsid w:val="36DC37DD"/>
    <w:rsid w:val="37DE7E15"/>
    <w:rsid w:val="3BA70B39"/>
    <w:rsid w:val="3C7636AF"/>
    <w:rsid w:val="3E516742"/>
    <w:rsid w:val="42BA1DF9"/>
    <w:rsid w:val="442F10A5"/>
    <w:rsid w:val="46843426"/>
    <w:rsid w:val="473A0DD5"/>
    <w:rsid w:val="47C66189"/>
    <w:rsid w:val="4A263D9A"/>
    <w:rsid w:val="4A6315E5"/>
    <w:rsid w:val="4AF71395"/>
    <w:rsid w:val="4CA7559F"/>
    <w:rsid w:val="4D6435C2"/>
    <w:rsid w:val="4DF56AA7"/>
    <w:rsid w:val="4F2567E5"/>
    <w:rsid w:val="51935037"/>
    <w:rsid w:val="521C5B03"/>
    <w:rsid w:val="53767495"/>
    <w:rsid w:val="54580B43"/>
    <w:rsid w:val="5794182D"/>
    <w:rsid w:val="586D4E7F"/>
    <w:rsid w:val="5A4853C7"/>
    <w:rsid w:val="5B5C731D"/>
    <w:rsid w:val="5C9F4A39"/>
    <w:rsid w:val="5DD022F3"/>
    <w:rsid w:val="5EC8235B"/>
    <w:rsid w:val="5ECD3BB6"/>
    <w:rsid w:val="61787F41"/>
    <w:rsid w:val="63EC73E1"/>
    <w:rsid w:val="65465834"/>
    <w:rsid w:val="6AEC59B8"/>
    <w:rsid w:val="6B1F7E37"/>
    <w:rsid w:val="6C1C590D"/>
    <w:rsid w:val="7029000B"/>
    <w:rsid w:val="70AC3779"/>
    <w:rsid w:val="71F76391"/>
    <w:rsid w:val="72B552BA"/>
    <w:rsid w:val="743631A3"/>
    <w:rsid w:val="75893AED"/>
    <w:rsid w:val="759748AE"/>
    <w:rsid w:val="76716923"/>
    <w:rsid w:val="76A05966"/>
    <w:rsid w:val="76A20092"/>
    <w:rsid w:val="7776441B"/>
    <w:rsid w:val="78AB5FCC"/>
    <w:rsid w:val="78B6471C"/>
    <w:rsid w:val="78D17E3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Body Text"/>
    <w:basedOn w:val="1"/>
    <w:unhideWhenUsed/>
    <w:qFormat/>
    <w:uiPriority w:val="99"/>
    <w:pPr>
      <w:widowControl/>
      <w:spacing w:before="100" w:beforeAutospacing="1" w:after="100" w:afterAutospacing="1"/>
      <w:jc w:val="left"/>
    </w:pPr>
    <w:rPr>
      <w:rFonts w:ascii="宋体" w:hAnsi="宋体" w:cs="宋体"/>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 w:type="paragraph" w:customStyle="1" w:styleId="16">
    <w:name w:val="正文1"/>
    <w:next w:val="17"/>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6495;2022.4&#26356;&#26032;\&#34892;&#25919;&#22788;&#32602;&#20915;&#23450;&#20070;&#65288;&#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行政处罚决定书（未听证）.dot</Template>
  <Pages>4</Pages>
  <Words>1730</Words>
  <Characters>1838</Characters>
  <Lines>8</Lines>
  <Paragraphs>2</Paragraphs>
  <TotalTime>3</TotalTime>
  <ScaleCrop>false</ScaleCrop>
  <LinksUpToDate>false</LinksUpToDate>
  <CharactersWithSpaces>1862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2022-05-24T07:12:00Z</dcterms:created>
  <dc:creator>唐大果果</dc:creator>
  <cp:lastModifiedBy>孙国力</cp:lastModifiedBy>
  <cp:lastPrinted>2023-10-08T07:55:00Z</cp:lastPrinted>
  <dcterms:modified xsi:type="dcterms:W3CDTF">2023-10-10T01:33:26Z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730E82EB171946218D567F6F085AA7F6</vt:lpwstr>
  </property>
</Properties>
</file>