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57</w:t>
      </w:r>
      <w:r>
        <w:rPr>
          <w:rFonts w:eastAsia="仿宋_GB2312"/>
          <w:color w:val="auto"/>
          <w:kern w:val="0"/>
          <w:position w:val="-2"/>
          <w:sz w:val="32"/>
          <w:szCs w:val="32"/>
        </w:rPr>
        <w:t>号</w:t>
      </w: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80" w:lineRule="exact"/>
        <w:jc w:val="left"/>
        <w:textAlignment w:val="auto"/>
        <w:rPr>
          <w:rFonts w:hint="eastAsia" w:eastAsia="仿宋_GB2312"/>
          <w:color w:val="auto"/>
          <w:kern w:val="0"/>
          <w:sz w:val="32"/>
          <w:szCs w:val="32"/>
        </w:rPr>
      </w:pPr>
      <w:r>
        <w:rPr>
          <w:rFonts w:hint="eastAsia" w:eastAsia="仿宋_GB2312"/>
          <w:color w:val="auto"/>
          <w:kern w:val="0"/>
          <w:sz w:val="32"/>
          <w:szCs w:val="32"/>
          <w:lang w:val="en-US" w:eastAsia="zh-CN"/>
        </w:rPr>
        <w:t>天津金国劳务服务合伙企业（普通合伙）：</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jc w:val="both"/>
        <w:textAlignment w:val="auto"/>
        <w:rPr>
          <w:rFonts w:hint="eastAsia" w:eastAsia="仿宋_GB2312"/>
          <w:color w:val="auto"/>
          <w:kern w:val="0"/>
          <w:sz w:val="32"/>
          <w:szCs w:val="32"/>
          <w:lang w:val="en-US" w:eastAsia="zh-CN"/>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91120223MA06WTQ522</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jc w:val="both"/>
        <w:textAlignment w:val="auto"/>
        <w:rPr>
          <w:rFonts w:hint="eastAsia" w:eastAsia="仿宋_GB2312"/>
          <w:color w:val="auto"/>
          <w:kern w:val="0"/>
          <w:sz w:val="32"/>
          <w:szCs w:val="32"/>
          <w:lang w:val="en-US" w:eastAsia="zh-CN"/>
        </w:rPr>
      </w:pPr>
      <w:r>
        <w:rPr>
          <w:rFonts w:eastAsia="仿宋_GB2312"/>
          <w:color w:val="auto"/>
          <w:kern w:val="0"/>
          <w:sz w:val="32"/>
          <w:szCs w:val="32"/>
        </w:rPr>
        <w:t>地址：</w:t>
      </w:r>
      <w:r>
        <w:rPr>
          <w:rFonts w:hint="eastAsia" w:eastAsia="仿宋_GB2312"/>
          <w:color w:val="auto"/>
          <w:kern w:val="0"/>
          <w:sz w:val="32"/>
          <w:szCs w:val="32"/>
          <w:lang w:eastAsia="zh-CN"/>
        </w:rPr>
        <w:t>天</w:t>
      </w:r>
      <w:r>
        <w:rPr>
          <w:rFonts w:hint="eastAsia" w:eastAsia="仿宋_GB2312"/>
          <w:color w:val="auto"/>
          <w:kern w:val="0"/>
          <w:sz w:val="32"/>
          <w:szCs w:val="32"/>
          <w:lang w:val="en-US" w:eastAsia="zh-CN"/>
        </w:rPr>
        <w:t>津市静海区双塘镇杨学士村六区二排18号</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jc w:val="both"/>
        <w:textAlignment w:val="auto"/>
        <w:rPr>
          <w:rFonts w:hint="eastAsia" w:eastAsia="仿宋_GB2312"/>
          <w:color w:val="auto"/>
          <w:kern w:val="0"/>
          <w:sz w:val="32"/>
          <w:szCs w:val="32"/>
          <w:lang w:eastAsia="zh-CN"/>
        </w:rPr>
      </w:pPr>
      <w:r>
        <w:rPr>
          <w:rFonts w:hint="eastAsia" w:eastAsia="仿宋_GB2312"/>
          <w:color w:val="auto"/>
          <w:kern w:val="0"/>
          <w:sz w:val="32"/>
          <w:szCs w:val="32"/>
          <w:lang w:eastAsia="zh-CN"/>
        </w:rPr>
        <w:t>执行事务合伙人：</w:t>
      </w:r>
      <w:r>
        <w:rPr>
          <w:rFonts w:hint="eastAsia" w:eastAsia="仿宋_GB2312"/>
          <w:color w:val="auto"/>
          <w:kern w:val="0"/>
          <w:sz w:val="32"/>
          <w:szCs w:val="32"/>
          <w:lang w:val="en-US" w:eastAsia="zh-CN"/>
        </w:rPr>
        <w:t>张金华</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w:t>
      </w:r>
      <w:r>
        <w:rPr>
          <w:rFonts w:hint="eastAsia" w:eastAsia="仿宋_GB2312"/>
          <w:color w:val="auto"/>
          <w:kern w:val="0"/>
          <w:sz w:val="32"/>
          <w:szCs w:val="32"/>
          <w:lang w:eastAsia="zh-CN"/>
        </w:rPr>
        <w:t>单位</w:t>
      </w:r>
      <w:r>
        <w:rPr>
          <w:rFonts w:eastAsia="仿宋_GB2312"/>
          <w:color w:val="auto"/>
          <w:kern w:val="0"/>
          <w:sz w:val="32"/>
          <w:szCs w:val="32"/>
        </w:rPr>
        <w:t>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我局于2023年2月14日对中铁三局集团天津建设工程有限公司承建的天津地铁4号线北段工程土建7标项目建筑工地进行了调查，该工地位于天津市河北区天泰路与榆关道交口，为《天津市人民政府关于划定禁止使用高排放非道路移动机械区域的通告》（津政规〔2022〕2号）规定的禁止使用高排放非道路移动机械一类禁用区。经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现场检查时，该工地有1台日立牌挖掘机（机械登记信息标号：X-29009650；机械型号：ZX210K-3；机械编号：*HCM1U300C00210244*；机械出厂年份：2008年；排放阶段：X阶段)正在进行土石方作业。上述挖掘机为《天津市人民政府关于划定禁止使用高排放非道路移动机械区域的通告》（津政规〔2022〕2号）规定的一类禁用区内禁止使用的高排放非道路移动机械。经确认，上述挖掘机为你单位租赁并入场使用。</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以上事实，有</w:t>
      </w:r>
      <w:bookmarkStart w:id="3" w:name="PO_4_ShiShiZhengJu"/>
      <w:r>
        <w:rPr>
          <w:rFonts w:hint="eastAsia" w:eastAsia="仿宋_GB2312"/>
          <w:color w:val="auto"/>
          <w:sz w:val="32"/>
          <w:szCs w:val="32"/>
          <w:lang w:val="en-US" w:eastAsia="zh-CN"/>
        </w:rPr>
        <w:t>《天津市生态环境局现场检查（勘察）笔录》《天津市生态环境局调查询问笔录》《天津市人民政府关于划定使用高排放非道路移动机械区域的通告》（津政规〔2022〕2号）、现场拍摄机械设备照片、天津市非道路移动机械信息管理平台查询截图、现场拍摄的视频以及营业执照复印件</w:t>
      </w:r>
      <w:bookmarkEnd w:id="3"/>
      <w:r>
        <w:rPr>
          <w:rFonts w:hint="eastAsia" w:eastAsia="仿宋_GB2312"/>
          <w:color w:val="auto"/>
          <w:sz w:val="32"/>
          <w:szCs w:val="32"/>
          <w:lang w:val="en-US" w:eastAsia="zh-CN"/>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仿宋_GB2312"/>
          <w:color w:val="auto"/>
          <w:kern w:val="0"/>
          <w:sz w:val="32"/>
          <w:szCs w:val="32"/>
        </w:rPr>
      </w:pPr>
      <w:r>
        <w:rPr>
          <w:rFonts w:eastAsia="仿宋_GB2312"/>
          <w:color w:val="auto"/>
          <w:sz w:val="32"/>
          <w:szCs w:val="32"/>
        </w:rPr>
        <w:t>你单位上述行为违反了</w:t>
      </w:r>
      <w:r>
        <w:rPr>
          <w:rFonts w:hint="default" w:eastAsia="仿宋_GB2312"/>
          <w:color w:val="auto"/>
          <w:sz w:val="32"/>
          <w:szCs w:val="32"/>
          <w:lang w:val="en-US" w:eastAsia="zh-CN"/>
        </w:rPr>
        <w:t>《天津市机动车和非道路移动机械排放污染防治条例》第十二条第一款的规定</w:t>
      </w:r>
      <w:r>
        <w:rPr>
          <w:rFonts w:hint="eastAsia" w:eastAsia="仿宋_GB2312"/>
          <w:color w:val="auto"/>
          <w:sz w:val="32"/>
          <w:szCs w:val="32"/>
          <w:lang w:eastAsia="zh-CN"/>
        </w:rPr>
        <w:t>，</w:t>
      </w:r>
      <w:r>
        <w:rPr>
          <w:rFonts w:eastAsia="仿宋_GB2312"/>
          <w:color w:val="auto"/>
          <w:kern w:val="0"/>
          <w:sz w:val="32"/>
          <w:szCs w:val="32"/>
        </w:rPr>
        <w:t>依法应当予以处罚。</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3</w:t>
      </w:r>
      <w:r>
        <w:rPr>
          <w:rFonts w:eastAsia="仿宋_GB2312"/>
          <w:color w:val="auto"/>
          <w:kern w:val="0"/>
          <w:sz w:val="32"/>
          <w:szCs w:val="32"/>
        </w:rPr>
        <w:t>月</w:t>
      </w:r>
      <w:r>
        <w:rPr>
          <w:rFonts w:hint="eastAsia" w:eastAsia="仿宋_GB2312"/>
          <w:color w:val="auto"/>
          <w:kern w:val="0"/>
          <w:sz w:val="32"/>
          <w:szCs w:val="32"/>
          <w:lang w:val="en-US" w:eastAsia="zh-CN"/>
        </w:rPr>
        <w:t>21</w:t>
      </w:r>
      <w:r>
        <w:rPr>
          <w:rFonts w:eastAsia="仿宋_GB2312"/>
          <w:color w:val="auto"/>
          <w:kern w:val="0"/>
          <w:sz w:val="32"/>
          <w:szCs w:val="32"/>
        </w:rPr>
        <w:t>日以《天津市生态环境局行政处罚</w:t>
      </w:r>
      <w:r>
        <w:rPr>
          <w:rFonts w:hint="eastAsia" w:eastAsia="仿宋_GB2312"/>
          <w:color w:val="auto"/>
          <w:kern w:val="0"/>
          <w:sz w:val="32"/>
          <w:szCs w:val="32"/>
          <w:lang w:eastAsia="zh-CN"/>
        </w:rPr>
        <w:t>听证</w:t>
      </w:r>
      <w:r>
        <w:rPr>
          <w:rFonts w:eastAsia="仿宋_GB2312"/>
          <w:color w:val="auto"/>
          <w:kern w:val="0"/>
          <w:sz w:val="32"/>
          <w:szCs w:val="32"/>
        </w:rPr>
        <w:t>告知书》（津市环</w:t>
      </w:r>
      <w:r>
        <w:rPr>
          <w:rFonts w:hint="eastAsia" w:eastAsia="仿宋_GB2312"/>
          <w:color w:val="auto"/>
          <w:kern w:val="0"/>
          <w:sz w:val="32"/>
          <w:szCs w:val="32"/>
          <w:lang w:eastAsia="zh-CN"/>
        </w:rPr>
        <w:t>听</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23</w:t>
      </w:r>
      <w:r>
        <w:rPr>
          <w:rFonts w:eastAsia="仿宋_GB2312"/>
          <w:color w:val="auto"/>
          <w:kern w:val="0"/>
          <w:sz w:val="32"/>
          <w:szCs w:val="32"/>
        </w:rPr>
        <w:t>号），告知你单位违法事实、处罚依据和拟作出的处罚决定，并明确告知你单位有权进行陈述申辩</w:t>
      </w:r>
      <w:r>
        <w:rPr>
          <w:rFonts w:hint="eastAsia" w:eastAsia="仿宋_GB2312"/>
          <w:color w:val="auto"/>
          <w:kern w:val="0"/>
          <w:sz w:val="32"/>
          <w:szCs w:val="32"/>
          <w:lang w:eastAsia="zh-CN"/>
        </w:rPr>
        <w:t>、申请听证</w:t>
      </w:r>
      <w:r>
        <w:rPr>
          <w:rFonts w:eastAsia="仿宋_GB2312"/>
          <w:color w:val="auto"/>
          <w:kern w:val="0"/>
          <w:sz w:val="32"/>
          <w:szCs w:val="32"/>
        </w:rPr>
        <w:t>。</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3</w:t>
      </w:r>
      <w:r>
        <w:rPr>
          <w:rFonts w:hint="eastAsia" w:eastAsia="仿宋_GB2312"/>
          <w:color w:val="auto"/>
          <w:kern w:val="0"/>
          <w:sz w:val="32"/>
          <w:szCs w:val="32"/>
        </w:rPr>
        <w:t>月</w:t>
      </w:r>
      <w:r>
        <w:rPr>
          <w:rFonts w:hint="eastAsia" w:eastAsia="仿宋_GB2312"/>
          <w:color w:val="auto"/>
          <w:kern w:val="0"/>
          <w:sz w:val="32"/>
          <w:szCs w:val="32"/>
          <w:lang w:val="en-US" w:eastAsia="zh-CN"/>
        </w:rPr>
        <w:t>24</w:t>
      </w:r>
      <w:r>
        <w:rPr>
          <w:rFonts w:hint="eastAsia" w:eastAsia="仿宋_GB2312"/>
          <w:color w:val="auto"/>
          <w:kern w:val="0"/>
          <w:sz w:val="32"/>
          <w:szCs w:val="32"/>
        </w:rPr>
        <w:t>日向</w:t>
      </w:r>
      <w:r>
        <w:rPr>
          <w:rFonts w:hint="eastAsia" w:eastAsia="仿宋_GB2312"/>
          <w:color w:val="auto"/>
          <w:kern w:val="0"/>
          <w:sz w:val="32"/>
          <w:szCs w:val="32"/>
          <w:lang w:val="en-US" w:eastAsia="zh-CN"/>
        </w:rPr>
        <w:t>你</w:t>
      </w:r>
      <w:r>
        <w:rPr>
          <w:rFonts w:hint="eastAsia" w:eastAsia="仿宋_GB2312"/>
          <w:color w:val="auto"/>
          <w:kern w:val="0"/>
          <w:sz w:val="32"/>
          <w:szCs w:val="32"/>
        </w:rPr>
        <w:t>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w:t>
      </w:r>
      <w:r>
        <w:rPr>
          <w:rFonts w:hint="eastAsia" w:eastAsia="仿宋_GB2312"/>
          <w:color w:val="auto"/>
          <w:kern w:val="0"/>
          <w:sz w:val="32"/>
          <w:szCs w:val="32"/>
          <w:lang w:val="en-US" w:eastAsia="zh-CN"/>
        </w:rPr>
        <w:t>你</w:t>
      </w:r>
      <w:r>
        <w:rPr>
          <w:rFonts w:hint="eastAsia" w:eastAsia="仿宋_GB2312"/>
          <w:color w:val="auto"/>
          <w:kern w:val="0"/>
          <w:sz w:val="32"/>
          <w:szCs w:val="32"/>
        </w:rPr>
        <w:t>单位于当日签收。你单位逾期未向我局提出陈述申辩意见，也未申请听证。</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以上事实，有《天津市生态环境局行政处罚</w:t>
      </w:r>
      <w:r>
        <w:rPr>
          <w:rFonts w:hint="eastAsia" w:eastAsia="仿宋_GB2312"/>
          <w:color w:val="auto"/>
          <w:kern w:val="0"/>
          <w:sz w:val="32"/>
          <w:szCs w:val="32"/>
          <w:lang w:eastAsia="zh-CN"/>
        </w:rPr>
        <w:t>听证</w:t>
      </w:r>
      <w:r>
        <w:rPr>
          <w:rFonts w:eastAsia="仿宋_GB2312"/>
          <w:color w:val="auto"/>
          <w:kern w:val="0"/>
          <w:sz w:val="32"/>
          <w:szCs w:val="32"/>
        </w:rPr>
        <w:t>告知书》（津市环</w:t>
      </w:r>
      <w:r>
        <w:rPr>
          <w:rFonts w:hint="eastAsia" w:eastAsia="仿宋_GB2312"/>
          <w:color w:val="auto"/>
          <w:kern w:val="0"/>
          <w:sz w:val="32"/>
          <w:szCs w:val="32"/>
          <w:lang w:eastAsia="zh-CN"/>
        </w:rPr>
        <w:t>听</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23</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eastAsia="zh-CN"/>
        </w:rPr>
        <w:t>等证据</w:t>
      </w:r>
      <w:r>
        <w:rPr>
          <w:rFonts w:eastAsia="仿宋_GB2312"/>
          <w:color w:val="auto"/>
          <w:kern w:val="0"/>
          <w:sz w:val="32"/>
          <w:szCs w:val="32"/>
        </w:rPr>
        <w:t>为凭。</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2023年4月24日经局负责人集体审议，本案违法事实清楚、执法程序合法、法律适用准确、处罚幅度裁量合理。</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hint="eastAsia" w:eastAsia="仿宋_GB2312"/>
          <w:color w:val="auto"/>
          <w:kern w:val="0"/>
          <w:sz w:val="32"/>
          <w:szCs w:val="32"/>
          <w:lang w:eastAsia="zh-CN"/>
        </w:rPr>
      </w:pPr>
      <w:r>
        <w:rPr>
          <w:rFonts w:hint="eastAsia" w:eastAsia="仿宋_GB2312"/>
          <w:color w:val="auto"/>
          <w:kern w:val="0"/>
          <w:sz w:val="32"/>
          <w:szCs w:val="32"/>
        </w:rPr>
        <w:t>依据</w:t>
      </w:r>
      <w:r>
        <w:rPr>
          <w:rFonts w:hint="eastAsia" w:eastAsia="仿宋_GB2312"/>
          <w:color w:val="auto"/>
          <w:kern w:val="0"/>
          <w:sz w:val="32"/>
          <w:szCs w:val="32"/>
          <w:lang w:val="en-US" w:eastAsia="zh-CN"/>
        </w:rPr>
        <w:t>《天津市机动车和非道路移动机械排放污染防治条例》第五十条</w:t>
      </w:r>
      <w:r>
        <w:rPr>
          <w:rFonts w:hint="eastAsia" w:eastAsia="仿宋_GB2312"/>
          <w:color w:val="auto"/>
          <w:kern w:val="0"/>
          <w:sz w:val="32"/>
          <w:szCs w:val="32"/>
        </w:rPr>
        <w:t>的</w:t>
      </w:r>
      <w:r>
        <w:rPr>
          <w:rFonts w:eastAsia="仿宋_GB2312"/>
          <w:color w:val="auto"/>
          <w:kern w:val="0"/>
          <w:sz w:val="32"/>
          <w:szCs w:val="32"/>
        </w:rPr>
        <w:t>规定</w:t>
      </w:r>
      <w:r>
        <w:rPr>
          <w:rFonts w:hint="eastAsia" w:eastAsia="仿宋_GB2312"/>
          <w:color w:val="auto"/>
          <w:kern w:val="0"/>
          <w:sz w:val="32"/>
          <w:szCs w:val="32"/>
          <w:lang w:eastAsia="zh-CN"/>
        </w:rPr>
        <w:t>，我局：</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olor w:val="auto"/>
          <w:kern w:val="0"/>
          <w:sz w:val="32"/>
          <w:szCs w:val="32"/>
          <w:lang w:eastAsia="zh-CN"/>
        </w:rPr>
      </w:pPr>
      <w:r>
        <w:rPr>
          <w:rFonts w:eastAsia="仿宋_GB2312"/>
          <w:color w:val="auto"/>
          <w:kern w:val="0"/>
          <w:sz w:val="32"/>
          <w:szCs w:val="32"/>
        </w:rPr>
        <w:t>1.</w:t>
      </w:r>
      <w:r>
        <w:rPr>
          <w:rFonts w:hint="eastAsia" w:eastAsia="仿宋_GB2312"/>
          <w:color w:val="auto"/>
          <w:kern w:val="0"/>
          <w:sz w:val="32"/>
          <w:szCs w:val="32"/>
        </w:rPr>
        <w:t>责令你单位</w:t>
      </w:r>
      <w:r>
        <w:rPr>
          <w:rFonts w:hint="eastAsia" w:eastAsia="仿宋_GB2312"/>
          <w:color w:val="auto"/>
          <w:kern w:val="0"/>
          <w:sz w:val="32"/>
          <w:szCs w:val="32"/>
          <w:lang w:val="en-US" w:eastAsia="zh-CN"/>
        </w:rPr>
        <w:t>立即改正违法行为</w:t>
      </w:r>
      <w:r>
        <w:rPr>
          <w:rFonts w:hint="eastAsia"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2</w:t>
      </w:r>
      <w:r>
        <w:rPr>
          <w:rFonts w:eastAsia="仿宋_GB2312"/>
          <w:color w:val="auto"/>
          <w:kern w:val="0"/>
          <w:sz w:val="32"/>
          <w:szCs w:val="32"/>
        </w:rPr>
        <w:t>.</w:t>
      </w:r>
      <w:r>
        <w:rPr>
          <w:rFonts w:hint="eastAsia" w:eastAsia="仿宋_GB2312"/>
          <w:color w:val="auto"/>
          <w:kern w:val="0"/>
          <w:sz w:val="32"/>
          <w:szCs w:val="32"/>
          <w:lang w:eastAsia="zh-CN"/>
        </w:rPr>
        <w:t>对你单位</w:t>
      </w:r>
      <w:r>
        <w:rPr>
          <w:rFonts w:eastAsia="仿宋_GB2312"/>
          <w:color w:val="auto"/>
          <w:kern w:val="0"/>
          <w:sz w:val="32"/>
          <w:szCs w:val="32"/>
        </w:rPr>
        <w:t>处罚款</w:t>
      </w:r>
      <w:r>
        <w:rPr>
          <w:rFonts w:hint="eastAsia" w:eastAsia="仿宋_GB2312"/>
          <w:color w:val="auto"/>
          <w:kern w:val="0"/>
          <w:sz w:val="32"/>
          <w:szCs w:val="32"/>
          <w:lang w:val="en-US" w:eastAsia="zh-CN"/>
        </w:rPr>
        <w:t>五万</w:t>
      </w:r>
      <w:r>
        <w:rPr>
          <w:rFonts w:eastAsia="仿宋_GB2312"/>
          <w:color w:val="auto"/>
          <w:kern w:val="0"/>
          <w:sz w:val="32"/>
          <w:szCs w:val="32"/>
        </w:rPr>
        <w:t>元。</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val="en-US" w:eastAsia="zh-CN"/>
        </w:rPr>
        <w:t>立即</w:t>
      </w:r>
      <w:r>
        <w:rPr>
          <w:rFonts w:eastAsia="仿宋_GB2312"/>
          <w:color w:val="auto"/>
          <w:kern w:val="0"/>
          <w:sz w:val="32"/>
          <w:szCs w:val="32"/>
        </w:rPr>
        <w:t>改正</w:t>
      </w:r>
      <w:r>
        <w:rPr>
          <w:rFonts w:hint="eastAsia" w:eastAsia="仿宋_GB2312"/>
          <w:color w:val="auto"/>
          <w:kern w:val="0"/>
          <w:sz w:val="32"/>
          <w:szCs w:val="32"/>
          <w:lang w:eastAsia="zh-CN"/>
        </w:rPr>
        <w:t>上述</w:t>
      </w:r>
      <w:r>
        <w:rPr>
          <w:rFonts w:eastAsia="仿宋_GB2312"/>
          <w:color w:val="auto"/>
          <w:kern w:val="0"/>
          <w:sz w:val="32"/>
          <w:szCs w:val="32"/>
        </w:rPr>
        <w:t>违法行为</w:t>
      </w:r>
      <w:r>
        <w:rPr>
          <w:rFonts w:hint="eastAsia" w:eastAsia="仿宋_GB2312"/>
          <w:color w:val="auto"/>
          <w:kern w:val="0"/>
          <w:sz w:val="32"/>
          <w:szCs w:val="32"/>
          <w:lang w:eastAsia="zh-CN"/>
        </w:rPr>
        <w:t>，不得在</w:t>
      </w:r>
      <w:r>
        <w:rPr>
          <w:rFonts w:hint="eastAsia" w:eastAsia="仿宋_GB2312"/>
          <w:color w:val="auto"/>
          <w:kern w:val="0"/>
          <w:sz w:val="32"/>
          <w:szCs w:val="32"/>
          <w:lang w:val="en-US" w:eastAsia="zh-CN"/>
        </w:rPr>
        <w:t>禁止使用高排放非道路移动机械区域内使用高排放非道路移动机械。</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《中华人民共和国行政处罚法》和《罚款决定与罚款收缴分离实施办法》的规定，你单位应于接到本处罚决定书之日起十五日内，到我局领取</w:t>
      </w:r>
      <w:r>
        <w:rPr>
          <w:rFonts w:hint="eastAsia" w:eastAsia="仿宋_GB2312"/>
          <w:color w:val="auto"/>
          <w:kern w:val="0"/>
          <w:sz w:val="32"/>
          <w:szCs w:val="32"/>
        </w:rPr>
        <w:t>《非税收入统一缴款书（缴款通知书）》</w:t>
      </w:r>
      <w:r>
        <w:rPr>
          <w:rFonts w:eastAsia="仿宋_GB2312"/>
          <w:color w:val="auto"/>
          <w:kern w:val="0"/>
          <w:sz w:val="32"/>
          <w:szCs w:val="32"/>
        </w:rPr>
        <w:t>并缴至指定银行。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依法每日按罚款数额的3%加处罚款。</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黑体"/>
          <w:color w:val="auto"/>
          <w:kern w:val="0"/>
          <w:sz w:val="32"/>
          <w:szCs w:val="32"/>
          <w:u w:val="single"/>
        </w:rPr>
      </w:pPr>
      <w:r>
        <w:rPr>
          <w:rFonts w:eastAsia="黑体"/>
          <w:color w:val="auto"/>
          <w:kern w:val="0"/>
          <w:sz w:val="32"/>
          <w:szCs w:val="32"/>
        </w:rPr>
        <w:t>四、申请行政复议或者提起行政诉讼的途径和期限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如对本处罚决定不服，可在收到本处罚决定书之日起六十日内向中华人民共和国生态环境部或者向天津市人民政府申请复议，也可在六个月内直接向天津铁路运输法院起诉。</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申请行政复议或者提起行政诉讼，不停止行政处罚决定的执行。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逾期</w:t>
      </w:r>
      <w:r>
        <w:rPr>
          <w:rFonts w:eastAsia="仿宋_GB2312"/>
          <w:color w:val="auto"/>
          <w:spacing w:val="1"/>
          <w:kern w:val="0"/>
          <w:sz w:val="32"/>
          <w:szCs w:val="32"/>
        </w:rPr>
        <w:t>不</w:t>
      </w:r>
      <w:r>
        <w:rPr>
          <w:rFonts w:eastAsia="仿宋_GB2312"/>
          <w:color w:val="auto"/>
          <w:kern w:val="0"/>
          <w:sz w:val="32"/>
          <w:szCs w:val="32"/>
        </w:rPr>
        <w:t>申</w:t>
      </w:r>
      <w:r>
        <w:rPr>
          <w:rFonts w:eastAsia="仿宋_GB2312"/>
          <w:color w:val="auto"/>
          <w:spacing w:val="1"/>
          <w:kern w:val="0"/>
          <w:sz w:val="32"/>
          <w:szCs w:val="32"/>
        </w:rPr>
        <w:t>请</w:t>
      </w:r>
      <w:r>
        <w:rPr>
          <w:rFonts w:eastAsia="仿宋_GB2312"/>
          <w:color w:val="auto"/>
          <w:kern w:val="0"/>
          <w:sz w:val="32"/>
          <w:szCs w:val="32"/>
        </w:rPr>
        <w:t>行政</w:t>
      </w:r>
      <w:r>
        <w:rPr>
          <w:rFonts w:eastAsia="仿宋_GB2312"/>
          <w:color w:val="auto"/>
          <w:spacing w:val="1"/>
          <w:kern w:val="0"/>
          <w:sz w:val="32"/>
          <w:szCs w:val="32"/>
        </w:rPr>
        <w:t>复</w:t>
      </w:r>
      <w:r>
        <w:rPr>
          <w:rFonts w:eastAsia="仿宋_GB2312"/>
          <w:color w:val="auto"/>
          <w:kern w:val="0"/>
          <w:sz w:val="32"/>
          <w:szCs w:val="32"/>
        </w:rPr>
        <w:t>议</w:t>
      </w:r>
      <w:r>
        <w:rPr>
          <w:rFonts w:eastAsia="仿宋_GB2312"/>
          <w:color w:val="auto"/>
          <w:spacing w:val="1"/>
          <w:kern w:val="0"/>
          <w:sz w:val="32"/>
          <w:szCs w:val="32"/>
        </w:rPr>
        <w:t>，</w:t>
      </w:r>
      <w:r>
        <w:rPr>
          <w:rFonts w:eastAsia="仿宋_GB2312"/>
          <w:color w:val="auto"/>
          <w:kern w:val="0"/>
          <w:sz w:val="32"/>
          <w:szCs w:val="32"/>
        </w:rPr>
        <w:t>不提</w:t>
      </w:r>
      <w:r>
        <w:rPr>
          <w:rFonts w:eastAsia="仿宋_GB2312"/>
          <w:color w:val="auto"/>
          <w:spacing w:val="1"/>
          <w:kern w:val="0"/>
          <w:sz w:val="32"/>
          <w:szCs w:val="32"/>
        </w:rPr>
        <w:t>起</w:t>
      </w:r>
      <w:r>
        <w:rPr>
          <w:rFonts w:eastAsia="仿宋_GB2312"/>
          <w:color w:val="auto"/>
          <w:kern w:val="0"/>
          <w:sz w:val="32"/>
          <w:szCs w:val="32"/>
        </w:rPr>
        <w:t>行</w:t>
      </w:r>
      <w:r>
        <w:rPr>
          <w:rFonts w:eastAsia="仿宋_GB2312"/>
          <w:color w:val="auto"/>
          <w:spacing w:val="1"/>
          <w:kern w:val="0"/>
          <w:sz w:val="32"/>
          <w:szCs w:val="32"/>
        </w:rPr>
        <w:t>政</w:t>
      </w:r>
      <w:r>
        <w:rPr>
          <w:rFonts w:eastAsia="仿宋_GB2312"/>
          <w:color w:val="auto"/>
          <w:kern w:val="0"/>
          <w:sz w:val="32"/>
          <w:szCs w:val="32"/>
        </w:rPr>
        <w:t>诉讼</w:t>
      </w:r>
      <w:r>
        <w:rPr>
          <w:rFonts w:eastAsia="仿宋_GB2312"/>
          <w:color w:val="auto"/>
          <w:spacing w:val="1"/>
          <w:kern w:val="0"/>
          <w:sz w:val="32"/>
          <w:szCs w:val="32"/>
        </w:rPr>
        <w:t>，</w:t>
      </w:r>
      <w:r>
        <w:rPr>
          <w:rFonts w:eastAsia="仿宋_GB2312"/>
          <w:color w:val="auto"/>
          <w:kern w:val="0"/>
          <w:sz w:val="32"/>
          <w:szCs w:val="32"/>
        </w:rPr>
        <w:t>又</w:t>
      </w:r>
      <w:r>
        <w:rPr>
          <w:rFonts w:eastAsia="仿宋_GB2312"/>
          <w:color w:val="auto"/>
          <w:spacing w:val="1"/>
          <w:kern w:val="0"/>
          <w:sz w:val="32"/>
          <w:szCs w:val="32"/>
        </w:rPr>
        <w:t>不</w:t>
      </w:r>
      <w:r>
        <w:rPr>
          <w:rFonts w:eastAsia="仿宋_GB2312"/>
          <w:color w:val="auto"/>
          <w:kern w:val="0"/>
          <w:sz w:val="32"/>
          <w:szCs w:val="32"/>
        </w:rPr>
        <w:t>履行</w:t>
      </w:r>
      <w:r>
        <w:rPr>
          <w:rFonts w:eastAsia="仿宋_GB2312"/>
          <w:color w:val="auto"/>
          <w:spacing w:val="1"/>
          <w:kern w:val="0"/>
          <w:sz w:val="32"/>
          <w:szCs w:val="32"/>
        </w:rPr>
        <w:t>本</w:t>
      </w:r>
      <w:r>
        <w:rPr>
          <w:rFonts w:eastAsia="仿宋_GB2312"/>
          <w:color w:val="auto"/>
          <w:kern w:val="0"/>
          <w:sz w:val="32"/>
          <w:szCs w:val="32"/>
        </w:rPr>
        <w:t>处</w:t>
      </w:r>
      <w:r>
        <w:rPr>
          <w:rFonts w:eastAsia="仿宋_GB2312"/>
          <w:color w:val="auto"/>
          <w:spacing w:val="1"/>
          <w:kern w:val="0"/>
          <w:sz w:val="32"/>
          <w:szCs w:val="32"/>
        </w:rPr>
        <w:t>罚</w:t>
      </w:r>
      <w:r>
        <w:rPr>
          <w:rFonts w:eastAsia="仿宋_GB2312"/>
          <w:color w:val="auto"/>
          <w:kern w:val="0"/>
          <w:sz w:val="32"/>
          <w:szCs w:val="32"/>
        </w:rPr>
        <w:t>决定</w:t>
      </w:r>
      <w:r>
        <w:rPr>
          <w:rFonts w:eastAsia="仿宋_GB2312"/>
          <w:color w:val="auto"/>
          <w:spacing w:val="1"/>
          <w:kern w:val="0"/>
          <w:sz w:val="32"/>
          <w:szCs w:val="32"/>
        </w:rPr>
        <w:t>的</w:t>
      </w:r>
      <w:r>
        <w:rPr>
          <w:rFonts w:eastAsia="仿宋_GB2312"/>
          <w:color w:val="auto"/>
          <w:kern w:val="0"/>
          <w:sz w:val="32"/>
          <w:szCs w:val="32"/>
        </w:rPr>
        <w:t>，</w:t>
      </w:r>
      <w:r>
        <w:rPr>
          <w:rFonts w:eastAsia="仿宋_GB2312"/>
          <w:color w:val="auto"/>
          <w:spacing w:val="1"/>
          <w:kern w:val="0"/>
          <w:sz w:val="32"/>
          <w:szCs w:val="32"/>
        </w:rPr>
        <w:t>我</w:t>
      </w:r>
      <w:r>
        <w:rPr>
          <w:rFonts w:eastAsia="仿宋_GB2312"/>
          <w:color w:val="auto"/>
          <w:kern w:val="0"/>
          <w:sz w:val="32"/>
          <w:szCs w:val="32"/>
        </w:rPr>
        <w:t>局将</w:t>
      </w:r>
      <w:r>
        <w:rPr>
          <w:rFonts w:eastAsia="仿宋_GB2312"/>
          <w:color w:val="auto"/>
          <w:spacing w:val="1"/>
          <w:kern w:val="0"/>
          <w:sz w:val="32"/>
          <w:szCs w:val="32"/>
        </w:rPr>
        <w:t>依</w:t>
      </w:r>
      <w:r>
        <w:rPr>
          <w:rFonts w:eastAsia="仿宋_GB2312"/>
          <w:color w:val="auto"/>
          <w:kern w:val="0"/>
          <w:sz w:val="32"/>
          <w:szCs w:val="32"/>
        </w:rPr>
        <w:t>法</w:t>
      </w:r>
      <w:r>
        <w:rPr>
          <w:rFonts w:eastAsia="仿宋_GB2312"/>
          <w:color w:val="auto"/>
          <w:spacing w:val="1"/>
          <w:kern w:val="0"/>
          <w:sz w:val="32"/>
          <w:szCs w:val="32"/>
        </w:rPr>
        <w:t>申</w:t>
      </w:r>
      <w:r>
        <w:rPr>
          <w:rFonts w:eastAsia="仿宋_GB2312"/>
          <w:color w:val="auto"/>
          <w:kern w:val="0"/>
          <w:sz w:val="32"/>
          <w:szCs w:val="32"/>
        </w:rPr>
        <w:t>请人</w:t>
      </w:r>
      <w:r>
        <w:rPr>
          <w:rFonts w:eastAsia="仿宋_GB2312"/>
          <w:color w:val="auto"/>
          <w:spacing w:val="1"/>
          <w:kern w:val="0"/>
          <w:sz w:val="32"/>
          <w:szCs w:val="32"/>
        </w:rPr>
        <w:t>民法</w:t>
      </w:r>
      <w:r>
        <w:rPr>
          <w:rFonts w:eastAsia="仿宋_GB2312"/>
          <w:color w:val="auto"/>
          <w:spacing w:val="2"/>
          <w:kern w:val="0"/>
          <w:sz w:val="32"/>
          <w:szCs w:val="32"/>
        </w:rPr>
        <w:t>院</w:t>
      </w:r>
      <w:r>
        <w:rPr>
          <w:rFonts w:eastAsia="仿宋_GB2312"/>
          <w:color w:val="auto"/>
          <w:spacing w:val="1"/>
          <w:kern w:val="0"/>
          <w:sz w:val="32"/>
          <w:szCs w:val="32"/>
        </w:rPr>
        <w:t>强</w:t>
      </w:r>
      <w:r>
        <w:rPr>
          <w:rFonts w:eastAsia="仿宋_GB2312"/>
          <w:color w:val="auto"/>
          <w:kern w:val="0"/>
          <w:sz w:val="32"/>
          <w:szCs w:val="32"/>
        </w:rPr>
        <w:t>制执行。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eastAsia="仿宋_GB2312"/>
          <w:color w:val="auto"/>
          <w:kern w:val="0"/>
          <w:sz w:val="32"/>
          <w:szCs w:val="32"/>
        </w:rPr>
      </w:pPr>
      <w:r>
        <w:rPr>
          <w:rFonts w:hint="eastAsia" w:eastAsia="仿宋_GB2312"/>
          <w:color w:val="auto"/>
          <w:kern w:val="0"/>
          <w:sz w:val="32"/>
          <w:szCs w:val="32"/>
          <w:lang w:val="en-US" w:eastAsia="zh-CN"/>
        </w:rPr>
        <w:t>你单位自觉履行本行政处罚决定并完成相关整改工作后，可登录“信用中国（天津）”网站（https://credit.fzgg.tj.gov.cn/）信用服务-信用修复栏目自助开展行政处罚信用修复。修复后你单位上述行政处罚信息将在信用中国网站停止公示。</w:t>
      </w:r>
    </w:p>
    <w:p>
      <w:pPr>
        <w:keepNext w:val="0"/>
        <w:keepLines w:val="0"/>
        <w:pageBreakBefore w:val="0"/>
        <w:widowControl w:val="0"/>
        <w:tabs>
          <w:tab w:val="left" w:pos="5035"/>
          <w:tab w:val="left" w:pos="8460"/>
          <w:tab w:val="left" w:pos="9265"/>
        </w:tabs>
        <w:kinsoku/>
        <w:wordWrap/>
        <w:overflowPunct/>
        <w:topLinePunct w:val="0"/>
        <w:autoSpaceDE w:val="0"/>
        <w:autoSpaceDN w:val="0"/>
        <w:bidi w:val="0"/>
        <w:adjustRightInd w:val="0"/>
        <w:snapToGrid w:val="0"/>
        <w:spacing w:line="580" w:lineRule="exact"/>
        <w:ind w:right="-20"/>
        <w:jc w:val="both"/>
        <w:textAlignment w:val="auto"/>
        <w:rPr>
          <w:rFonts w:eastAsia="仿宋_GB2312"/>
          <w:color w:val="auto"/>
          <w:kern w:val="0"/>
          <w:sz w:val="32"/>
          <w:szCs w:val="32"/>
        </w:rPr>
      </w:pPr>
    </w:p>
    <w:p>
      <w:pPr>
        <w:keepNext w:val="0"/>
        <w:keepLines w:val="0"/>
        <w:pageBreakBefore w:val="0"/>
        <w:widowControl w:val="0"/>
        <w:tabs>
          <w:tab w:val="left" w:pos="5035"/>
          <w:tab w:val="left" w:pos="8460"/>
          <w:tab w:val="left" w:pos="9265"/>
        </w:tabs>
        <w:kinsoku/>
        <w:wordWrap/>
        <w:overflowPunct/>
        <w:topLinePunct w:val="0"/>
        <w:autoSpaceDE w:val="0"/>
        <w:autoSpaceDN w:val="0"/>
        <w:bidi w:val="0"/>
        <w:adjustRightInd w:val="0"/>
        <w:snapToGrid w:val="0"/>
        <w:spacing w:line="580" w:lineRule="exact"/>
        <w:ind w:right="-20"/>
        <w:jc w:val="both"/>
        <w:textAlignment w:val="auto"/>
        <w:rPr>
          <w:rFonts w:eastAsia="仿宋_GB2312"/>
          <w:color w:val="auto"/>
          <w:kern w:val="0"/>
          <w:sz w:val="32"/>
          <w:szCs w:val="32"/>
        </w:rPr>
      </w:pPr>
    </w:p>
    <w:p>
      <w:pPr>
        <w:keepNext w:val="0"/>
        <w:keepLines w:val="0"/>
        <w:pageBreakBefore w:val="0"/>
        <w:widowControl w:val="0"/>
        <w:tabs>
          <w:tab w:val="left" w:pos="5035"/>
          <w:tab w:val="left" w:pos="8460"/>
          <w:tab w:val="left" w:pos="9265"/>
        </w:tabs>
        <w:kinsoku/>
        <w:wordWrap/>
        <w:overflowPunct/>
        <w:topLinePunct w:val="0"/>
        <w:autoSpaceDE w:val="0"/>
        <w:autoSpaceDN w:val="0"/>
        <w:bidi w:val="0"/>
        <w:adjustRightInd w:val="0"/>
        <w:snapToGrid w:val="0"/>
        <w:spacing w:line="580" w:lineRule="exact"/>
        <w:ind w:right="-20"/>
        <w:jc w:val="both"/>
        <w:textAlignment w:val="auto"/>
        <w:rPr>
          <w:rFonts w:eastAsia="仿宋_GB2312"/>
          <w:color w:val="auto"/>
          <w:kern w:val="0"/>
          <w:sz w:val="32"/>
          <w:szCs w:val="32"/>
        </w:rPr>
      </w:pPr>
    </w:p>
    <w:p>
      <w:pPr>
        <w:keepNext w:val="0"/>
        <w:keepLines w:val="0"/>
        <w:pageBreakBefore w:val="0"/>
        <w:widowControl w:val="0"/>
        <w:kinsoku/>
        <w:wordWrap/>
        <w:overflowPunct/>
        <w:topLinePunct w:val="0"/>
        <w:bidi w:val="0"/>
        <w:adjustRightInd w:val="0"/>
        <w:snapToGrid w:val="0"/>
        <w:spacing w:line="580" w:lineRule="exact"/>
        <w:jc w:val="center"/>
        <w:textAlignment w:val="auto"/>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5</w:t>
      </w:r>
      <w:r>
        <w:rPr>
          <w:rFonts w:eastAsia="仿宋_GB2312"/>
          <w:color w:val="auto"/>
          <w:kern w:val="0"/>
          <w:sz w:val="32"/>
          <w:szCs w:val="32"/>
        </w:rPr>
        <w:t>月</w:t>
      </w:r>
      <w:bookmarkEnd w:id="4"/>
      <w:r>
        <w:rPr>
          <w:rFonts w:hint="eastAsia" w:eastAsia="仿宋_GB2312"/>
          <w:color w:val="auto"/>
          <w:kern w:val="0"/>
          <w:sz w:val="32"/>
          <w:szCs w:val="32"/>
          <w:lang w:val="en-US" w:eastAsia="zh-CN"/>
        </w:rPr>
        <w:t>5</w:t>
      </w:r>
      <w:r>
        <w:rPr>
          <w:rFonts w:eastAsia="仿宋_GB2312"/>
          <w:color w:val="auto"/>
          <w:kern w:val="0"/>
          <w:sz w:val="32"/>
          <w:szCs w:val="32"/>
        </w:rPr>
        <w:t>日</w:t>
      </w:r>
    </w:p>
    <w:p>
      <w:pPr>
        <w:pStyle w:val="2"/>
        <w:rPr>
          <w:rFonts w:eastAsia="仿宋_GB2312"/>
          <w:color w:val="auto"/>
          <w:kern w:val="0"/>
          <w:sz w:val="28"/>
          <w:szCs w:val="28"/>
        </w:rPr>
      </w:pPr>
    </w:p>
    <w:p>
      <w:pPr>
        <w:pStyle w:val="2"/>
        <w:rPr>
          <w:rFonts w:eastAsia="仿宋_GB2312"/>
          <w:color w:val="auto"/>
          <w:kern w:val="0"/>
          <w:sz w:val="28"/>
          <w:szCs w:val="28"/>
        </w:rPr>
      </w:pPr>
    </w:p>
    <w:p>
      <w:pPr>
        <w:pStyle w:val="2"/>
        <w:rPr>
          <w:rFonts w:eastAsia="仿宋_GB2312"/>
          <w:color w:val="auto"/>
          <w:kern w:val="0"/>
          <w:sz w:val="28"/>
          <w:szCs w:val="28"/>
        </w:rPr>
      </w:pPr>
      <w:bookmarkStart w:id="5" w:name="_GoBack"/>
      <w:bookmarkEnd w:id="5"/>
    </w:p>
    <w:p>
      <w:pPr>
        <w:keepNext w:val="0"/>
        <w:keepLines w:val="0"/>
        <w:pageBreakBefore w:val="0"/>
        <w:widowControl w:val="0"/>
        <w:tabs>
          <w:tab w:val="left" w:pos="9120"/>
        </w:tabs>
        <w:kinsoku/>
        <w:wordWrap/>
        <w:overflowPunct/>
        <w:topLinePunct w:val="0"/>
        <w:autoSpaceDE w:val="0"/>
        <w:autoSpaceDN w:val="0"/>
        <w:bidi w:val="0"/>
        <w:adjustRightInd w:val="0"/>
        <w:spacing w:line="580"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98" w:right="1587"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4"/>
      <w:isLgl/>
      <w:lvlText w:val="%1.%2"/>
      <w:lvlJc w:val="left"/>
      <w:pPr>
        <w:tabs>
          <w:tab w:val="left" w:pos="576"/>
        </w:tabs>
        <w:ind w:left="576" w:hanging="576"/>
      </w:pPr>
      <w:rPr>
        <w:rFonts w:hint="eastAsia"/>
      </w:rPr>
    </w:lvl>
    <w:lvl w:ilvl="2" w:tentative="0">
      <w:start w:val="1"/>
      <w:numFmt w:val="decimal"/>
      <w:pStyle w:val="5"/>
      <w:isLgl/>
      <w:lvlText w:val="%1.%2.%3"/>
      <w:lvlJc w:val="left"/>
      <w:pPr>
        <w:tabs>
          <w:tab w:val="left" w:pos="720"/>
        </w:tabs>
        <w:ind w:left="720" w:hanging="720"/>
      </w:pPr>
      <w:rPr>
        <w:rFonts w:hint="eastAsia"/>
      </w:rPr>
    </w:lvl>
    <w:lvl w:ilvl="3" w:tentative="0">
      <w:start w:val="1"/>
      <w:numFmt w:val="decimal"/>
      <w:pStyle w:val="6"/>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GY3YWJhNWE4NTE5YzZjNTNlNGUxM2ZjZjEwOGYifQ=="/>
  </w:docVars>
  <w:rsids>
    <w:rsidRoot w:val="78B6471C"/>
    <w:rsid w:val="00010AA6"/>
    <w:rsid w:val="000204AC"/>
    <w:rsid w:val="00043334"/>
    <w:rsid w:val="000657F1"/>
    <w:rsid w:val="0009025B"/>
    <w:rsid w:val="00095A17"/>
    <w:rsid w:val="000D6F4A"/>
    <w:rsid w:val="000E35AD"/>
    <w:rsid w:val="0010341C"/>
    <w:rsid w:val="00121857"/>
    <w:rsid w:val="0013098D"/>
    <w:rsid w:val="0013559F"/>
    <w:rsid w:val="00140468"/>
    <w:rsid w:val="00152183"/>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92BE0"/>
    <w:rsid w:val="002D34A1"/>
    <w:rsid w:val="002E443D"/>
    <w:rsid w:val="003057A3"/>
    <w:rsid w:val="0033687D"/>
    <w:rsid w:val="00343837"/>
    <w:rsid w:val="00353614"/>
    <w:rsid w:val="003658E2"/>
    <w:rsid w:val="003A15F8"/>
    <w:rsid w:val="003A1FCB"/>
    <w:rsid w:val="003B1577"/>
    <w:rsid w:val="003C05F1"/>
    <w:rsid w:val="003C45C3"/>
    <w:rsid w:val="003C4CF8"/>
    <w:rsid w:val="003D74C6"/>
    <w:rsid w:val="003E1E96"/>
    <w:rsid w:val="003E474C"/>
    <w:rsid w:val="003F2EA1"/>
    <w:rsid w:val="00417624"/>
    <w:rsid w:val="00432C4D"/>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45722"/>
    <w:rsid w:val="00850EF1"/>
    <w:rsid w:val="008778D2"/>
    <w:rsid w:val="008874CB"/>
    <w:rsid w:val="00895089"/>
    <w:rsid w:val="008A66F0"/>
    <w:rsid w:val="008B4839"/>
    <w:rsid w:val="008B6497"/>
    <w:rsid w:val="008E0B8C"/>
    <w:rsid w:val="008F1113"/>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02D8"/>
    <w:rsid w:val="00A85133"/>
    <w:rsid w:val="00A8786C"/>
    <w:rsid w:val="00AC5186"/>
    <w:rsid w:val="00AD0BD6"/>
    <w:rsid w:val="00AF21E9"/>
    <w:rsid w:val="00AF2C63"/>
    <w:rsid w:val="00B1113A"/>
    <w:rsid w:val="00B13545"/>
    <w:rsid w:val="00B51CAA"/>
    <w:rsid w:val="00B56F69"/>
    <w:rsid w:val="00B571CE"/>
    <w:rsid w:val="00B65A78"/>
    <w:rsid w:val="00B77FEE"/>
    <w:rsid w:val="00B90D48"/>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6915"/>
    <w:rsid w:val="00D2707E"/>
    <w:rsid w:val="00D31EDD"/>
    <w:rsid w:val="00D71E35"/>
    <w:rsid w:val="00D936DC"/>
    <w:rsid w:val="00D95AE8"/>
    <w:rsid w:val="00DA3404"/>
    <w:rsid w:val="00DA5D19"/>
    <w:rsid w:val="00DE1676"/>
    <w:rsid w:val="00DF22E2"/>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4564EA5"/>
    <w:rsid w:val="047D7869"/>
    <w:rsid w:val="04CF2504"/>
    <w:rsid w:val="09D67C66"/>
    <w:rsid w:val="0D0B40DE"/>
    <w:rsid w:val="0E2C6BAF"/>
    <w:rsid w:val="0F7B5A7C"/>
    <w:rsid w:val="14A22454"/>
    <w:rsid w:val="1C555FC6"/>
    <w:rsid w:val="1CC54CEB"/>
    <w:rsid w:val="1E607BE7"/>
    <w:rsid w:val="1F6A3919"/>
    <w:rsid w:val="2378242F"/>
    <w:rsid w:val="251D304F"/>
    <w:rsid w:val="27FC4468"/>
    <w:rsid w:val="2864137D"/>
    <w:rsid w:val="2D462E10"/>
    <w:rsid w:val="2F096FCE"/>
    <w:rsid w:val="329E2EF1"/>
    <w:rsid w:val="346B40A9"/>
    <w:rsid w:val="36714C7D"/>
    <w:rsid w:val="36D31726"/>
    <w:rsid w:val="39A0476E"/>
    <w:rsid w:val="3A1256D4"/>
    <w:rsid w:val="3B5B6EBD"/>
    <w:rsid w:val="3B8905F9"/>
    <w:rsid w:val="3BA70B39"/>
    <w:rsid w:val="3DA00CA1"/>
    <w:rsid w:val="43BA0B56"/>
    <w:rsid w:val="46937E8E"/>
    <w:rsid w:val="471D661F"/>
    <w:rsid w:val="473A0DD5"/>
    <w:rsid w:val="47C66189"/>
    <w:rsid w:val="4801057E"/>
    <w:rsid w:val="494223B1"/>
    <w:rsid w:val="4BCC057F"/>
    <w:rsid w:val="4D6435C2"/>
    <w:rsid w:val="4D8921F6"/>
    <w:rsid w:val="4E151645"/>
    <w:rsid w:val="504753FB"/>
    <w:rsid w:val="50CD3817"/>
    <w:rsid w:val="51935037"/>
    <w:rsid w:val="53767495"/>
    <w:rsid w:val="586D4E7F"/>
    <w:rsid w:val="5B3F44CA"/>
    <w:rsid w:val="5C9F4A39"/>
    <w:rsid w:val="5DD022F3"/>
    <w:rsid w:val="5F7C42EB"/>
    <w:rsid w:val="61787F41"/>
    <w:rsid w:val="65465834"/>
    <w:rsid w:val="67BA2652"/>
    <w:rsid w:val="6D2A34CE"/>
    <w:rsid w:val="6DDE19F4"/>
    <w:rsid w:val="6F4F3DC7"/>
    <w:rsid w:val="71F76391"/>
    <w:rsid w:val="743631A3"/>
    <w:rsid w:val="786030C1"/>
    <w:rsid w:val="78B6471C"/>
    <w:rsid w:val="7E231B1C"/>
    <w:rsid w:val="7F9C6DE3"/>
    <w:rsid w:val="7FA01F1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4">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5">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6">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widowControl/>
      <w:spacing w:before="100" w:beforeAutospacing="1" w:after="100" w:afterAutospacing="1"/>
      <w:jc w:val="left"/>
    </w:pPr>
    <w:rPr>
      <w:rFonts w:ascii="宋体" w:hAnsi="宋体" w:cs="宋体"/>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 w:type="paragraph" w:customStyle="1" w:styleId="16">
    <w:name w:val="正文1"/>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5191;&#27861;&#24635;&#38431;&#34892;&#25919;&#22788;&#32602;&#25991;&#20070;&#27169;&#26495;2022.4&#26356;&#26032;\&#34892;&#25919;&#22788;&#32602;&#20915;&#23450;&#20070;&#65288;&#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行政处罚决定书（未听证）.dot</Template>
  <Pages>4</Pages>
  <Words>1560</Words>
  <Characters>1700</Characters>
  <Lines>8</Lines>
  <Paragraphs>2</Paragraphs>
  <TotalTime>7</TotalTime>
  <ScaleCrop>false</ScaleCrop>
  <LinksUpToDate>false</LinksUpToDate>
  <CharactersWithSpaces>1747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2022-05-24T07:12:00Z</dcterms:created>
  <dc:creator>唐大果果</dc:creator>
  <cp:lastModifiedBy>孙国力</cp:lastModifiedBy>
  <cp:lastPrinted>2023-05-05T09:37:00Z</cp:lastPrinted>
  <dcterms:modified xsi:type="dcterms:W3CDTF">2023-05-10T01:26:50Z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730E82EB171946218D567F6F085AA7F6</vt:lpwstr>
  </property>
</Properties>
</file>